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59E41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27351355">
      <w:pPr>
        <w:jc w:val="center"/>
      </w:pPr>
      <w:r>
        <w:t>Se da traslado de la notificación siguiente de conformidad con el artículo 10.6.</w:t>
      </w:r>
    </w:p>
    <w:p w14:paraId="3A337720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67A8F171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636DD8E5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0826B3F8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ECUADOR</w:t>
            </w:r>
          </w:p>
          <w:p w14:paraId="4FD2DE5A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489681B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7437895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275C19F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4238ACA1">
            <w:r>
              <w:t>Servicio Ecuatoriano de Normalización - INEN</w:t>
            </w:r>
          </w:p>
          <w:p w14:paraId="13437CA0">
            <w:r>
              <w:t>Calle Baquerizo Moreno E8-29 y Diego de Almagro</w:t>
            </w:r>
          </w:p>
          <w:p w14:paraId="1F10BB54">
            <w:r>
              <w:t>Teléfono: (+593-2) 3825960 al 90</w:t>
            </w:r>
          </w:p>
          <w:p w14:paraId="5FEF37A4">
            <w:r>
              <w:t>Página WEB:</w:t>
            </w:r>
          </w:p>
          <w:p w14:paraId="6F8A50D0">
            <w:pPr>
              <w:spacing w:after="120"/>
              <w:rPr>
                <w:color w:val="0000FF"/>
                <w:u w:val="single"/>
              </w:rPr>
            </w:pPr>
            <w:r>
              <w:fldChar w:fldCharType="begin"/>
            </w:r>
            <w:r>
              <w:instrText xml:space="preserve"> HYPERLINK "https://www.normalizacion.gob.ec/" \t "_blank"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https://www.normalizacion.gob.ec/</w:t>
            </w:r>
            <w:r>
              <w:rPr>
                <w:color w:val="0000FF"/>
                <w:u w:val="single"/>
              </w:rPr>
              <w:fldChar w:fldCharType="end"/>
            </w:r>
          </w:p>
          <w:p w14:paraId="18FD4D98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67F523FE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0FACD27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09D2730">
            <w:pPr>
              <w:spacing w:before="120" w:after="120"/>
            </w:pPr>
            <w:r>
              <w:rPr>
                <w:b/>
              </w:rPr>
              <w:t>Notificación hecha en virtud del artículo 2.9.2 [X], 2.10.1 [ ], 5.6.2 [ ], 5.7.1 [ ], 3.2 [ ], 7.2 [ ], o en virtud de:</w:t>
            </w:r>
            <w:r>
              <w:t xml:space="preserve"> </w:t>
            </w:r>
          </w:p>
        </w:tc>
      </w:tr>
      <w:tr w14:paraId="5C275183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272B305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04F7131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Cables y demás conductores eléctricos coaxiales, aislados (Código(s) del SA: 854420); - Los demás conductores eléctricos para una tensión inferior o igual a 1000 V (Código(s) del SA: 85444)</w:t>
            </w:r>
          </w:p>
        </w:tc>
      </w:tr>
      <w:tr w14:paraId="05FADFA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B6EE9A0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9059391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Proyecto de Reglamento Técnico Ecuatoriano PRTE INEN 098 (1R) "Cables para transmisión de voz y datos"; (14 página(s), en español)</w:t>
            </w:r>
          </w:p>
        </w:tc>
      </w:tr>
      <w:tr w14:paraId="5790194C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46278BD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60B4482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rPr>
                <w:rFonts w:hint="eastAsia" w:eastAsia="宋体"/>
                <w:b/>
                <w:lang w:val="en-US" w:eastAsia="zh-CN"/>
              </w:rPr>
              <w:t xml:space="preserve"> </w:t>
            </w:r>
            <w:r>
              <w:t>La presente Resolución aplica a los siguientes productos sean estos nacionales o importados que se comercialicen en el Ecuador:</w:t>
            </w:r>
          </w:p>
          <w:p w14:paraId="5950150E">
            <w:pPr>
              <w:numPr>
                <w:numId w:val="0"/>
              </w:numPr>
              <w:spacing w:before="120" w:after="120"/>
              <w:ind w:left="360" w:leftChars="0"/>
            </w:pPr>
            <w:r>
              <w:t>Cables coaxiales;</w:t>
            </w:r>
          </w:p>
          <w:p w14:paraId="70448E27">
            <w:pPr>
              <w:numPr>
                <w:numId w:val="0"/>
              </w:numPr>
              <w:spacing w:before="120" w:after="120"/>
              <w:ind w:left="360" w:leftChars="0"/>
            </w:pPr>
            <w:r>
              <w:t>Cable telefónico de acometida, instalaciones interiores y de cruzada;</w:t>
            </w:r>
          </w:p>
          <w:p w14:paraId="110E66BB">
            <w:pPr>
              <w:numPr>
                <w:numId w:val="0"/>
              </w:numPr>
              <w:spacing w:before="120" w:after="120"/>
              <w:ind w:left="360" w:leftChars="0"/>
            </w:pPr>
            <w:r>
              <w:t>Cables telefónicos para exteriores;</w:t>
            </w:r>
          </w:p>
          <w:p w14:paraId="7087D172">
            <w:pPr>
              <w:numPr>
                <w:numId w:val="0"/>
              </w:numPr>
              <w:spacing w:before="120" w:after="120"/>
              <w:ind w:left="360" w:leftChars="0"/>
            </w:pPr>
            <w:r>
              <w:t>Cables de par trenzado (UTP, STP, FTP, S-FTP).</w:t>
            </w:r>
          </w:p>
          <w:p w14:paraId="257B077D">
            <w:pPr>
              <w:spacing w:before="120" w:after="120"/>
            </w:pPr>
            <w:r>
              <w:t>La presente Resolución no aplica a:</w:t>
            </w:r>
          </w:p>
          <w:p w14:paraId="7BDB10A9">
            <w:pPr>
              <w:numPr>
                <w:numId w:val="0"/>
              </w:numPr>
              <w:spacing w:before="120" w:after="120"/>
              <w:ind w:left="360" w:leftChars="0"/>
            </w:pPr>
            <w:r>
              <w:t>Cables para transmisión de voz y datos fabricados específicamente para instalaciones petroleras, mineras o instalaciones marinas fijas o móviles.</w:t>
            </w:r>
          </w:p>
          <w:p w14:paraId="7D2E8508">
            <w:pPr>
              <w:numPr>
                <w:numId w:val="0"/>
              </w:numPr>
              <w:spacing w:before="120" w:after="120"/>
              <w:ind w:left="360" w:leftChars="0"/>
            </w:pPr>
            <w:r>
              <w:t>Cables coaxiales (todos los tipos) de tramos cortos provistos de piezas de conexión.</w:t>
            </w:r>
          </w:p>
        </w:tc>
      </w:tr>
      <w:tr w14:paraId="6CF1EC96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E276D92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9A368A2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rPr>
                <w:rFonts w:hint="eastAsia" w:eastAsia="宋体"/>
                <w:b/>
                <w:lang w:val="en-US" w:eastAsia="zh-CN"/>
              </w:rPr>
              <w:t xml:space="preserve"> </w:t>
            </w:r>
            <w:r>
              <w:t>Prevención de prácticas que puedan inducir a error y protección del consumidor; Protección de la salud o seguridad humanas</w:t>
            </w:r>
          </w:p>
        </w:tc>
      </w:tr>
      <w:tr w14:paraId="262B826F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80E1940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FEB6F4F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56FED709">
            <w:pPr>
              <w:numPr>
                <w:ilvl w:val="0"/>
                <w:numId w:val="7"/>
              </w:numPr>
              <w:spacing w:before="120" w:after="120"/>
            </w:pPr>
            <w:r>
              <w:t>Norma ISO 2859-1:1999+Amd 1:2011, Procedimientos de muestreo para inspección por atributos. Parte 1. Programas de muestreo clasificados por el nivel aceptable de calidad (AQL) para inspección lote a lote.</w:t>
            </w:r>
          </w:p>
          <w:p w14:paraId="098C4AE4">
            <w:pPr>
              <w:numPr>
                <w:ilvl w:val="0"/>
                <w:numId w:val="7"/>
              </w:numPr>
              <w:spacing w:before="120" w:after="120"/>
            </w:pPr>
            <w:r>
              <w:t>Norma ISO/IEC 17025:2017, Requisitos generales para la competencia de los laboratorios de ensayo y calibración.</w:t>
            </w:r>
          </w:p>
          <w:p w14:paraId="6621BF67">
            <w:pPr>
              <w:numPr>
                <w:ilvl w:val="0"/>
                <w:numId w:val="7"/>
              </w:numPr>
              <w:spacing w:before="120" w:after="120"/>
            </w:pPr>
            <w:r>
              <w:t>Norma ISO/IEC 17050-1:2004, Evaluación de la Conformidad – Declaración de la conformidad del proveedor. Parte 1: Requisitos Generales.</w:t>
            </w:r>
          </w:p>
          <w:p w14:paraId="37B8C38F">
            <w:pPr>
              <w:numPr>
                <w:ilvl w:val="0"/>
                <w:numId w:val="7"/>
              </w:numPr>
              <w:spacing w:before="120" w:after="120"/>
            </w:pPr>
            <w:r>
              <w:t>Norma ISO/IEC 17067:2013, Evaluación de la conformidad. Fundamentos de certificación de productos y directrices aplicables a los esquemas de certificación de producto.</w:t>
            </w:r>
          </w:p>
          <w:p w14:paraId="4633296E">
            <w:pPr>
              <w:numPr>
                <w:ilvl w:val="0"/>
                <w:numId w:val="7"/>
              </w:numPr>
              <w:spacing w:before="120" w:after="120"/>
            </w:pPr>
            <w:r>
              <w:t>Norma IEC 60708:2005, Cables de baja frecuencia con aislamiento de poliolefina y cubierta de poliolefina de barrera contra la humedad.</w:t>
            </w:r>
          </w:p>
          <w:p w14:paraId="33C92AB1">
            <w:pPr>
              <w:numPr>
                <w:ilvl w:val="0"/>
                <w:numId w:val="7"/>
              </w:numPr>
              <w:spacing w:before="120" w:after="120"/>
              <w:rPr>
                <w:lang w:val="en-GB"/>
              </w:rPr>
            </w:pPr>
            <w:r>
              <w:rPr>
                <w:lang w:val="en-GB"/>
              </w:rPr>
              <w:t>Norma IEC 60332-1-1:2004+AMD1:2015, Tests on electric and optical fibre cables under fire conditions - Part 1-1: Test for vertical flame propagation for a single insulatedwire or cable – Apparatus.</w:t>
            </w:r>
          </w:p>
          <w:p w14:paraId="477797F3">
            <w:pPr>
              <w:numPr>
                <w:ilvl w:val="0"/>
                <w:numId w:val="7"/>
              </w:numPr>
              <w:spacing w:before="120" w:after="120"/>
              <w:rPr>
                <w:lang w:val="en-GB"/>
              </w:rPr>
            </w:pPr>
            <w:r>
              <w:rPr>
                <w:lang w:val="en-GB"/>
              </w:rPr>
              <w:t>Norma IEC 60332-1-2:2004+AMD1:2015, Tests on electric and optical fibre cables under fire conditions - Part 1-2: Test for vertical flame propagation for a single insulatedwire or cable - Procedure for 1 kW pre-mixed flame.</w:t>
            </w:r>
          </w:p>
          <w:p w14:paraId="520D2256">
            <w:pPr>
              <w:numPr>
                <w:ilvl w:val="0"/>
                <w:numId w:val="7"/>
              </w:numPr>
              <w:spacing w:before="120" w:after="120"/>
              <w:rPr>
                <w:lang w:val="en-GB"/>
              </w:rPr>
            </w:pPr>
            <w:r>
              <w:rPr>
                <w:lang w:val="en-GB"/>
              </w:rPr>
              <w:t>Norma IEC 60332-1-3:2004+AMD1:2015, Tests on electric and optical fibre cables under fire conditions - Part 1-3: Test for vertical flame propagation for a single insulatedwire or cable - Procedure for determination of flamingdroplets/particles.</w:t>
            </w:r>
          </w:p>
          <w:p w14:paraId="5CEB2E02">
            <w:pPr>
              <w:numPr>
                <w:ilvl w:val="0"/>
                <w:numId w:val="7"/>
              </w:numPr>
              <w:spacing w:before="120" w:after="120"/>
              <w:rPr>
                <w:lang w:val="en-GB"/>
              </w:rPr>
            </w:pPr>
            <w:r>
              <w:rPr>
                <w:lang w:val="en-GB"/>
              </w:rPr>
              <w:t>Norma IEC 61034-2:2005+AMD1:2013+AMD2:2019, Measurement of smoke density of cables burning under defined conditions - Part 2: Test procedure and requirements.</w:t>
            </w:r>
          </w:p>
          <w:p w14:paraId="4550EABA">
            <w:pPr>
              <w:numPr>
                <w:ilvl w:val="0"/>
                <w:numId w:val="7"/>
              </w:numPr>
              <w:spacing w:before="120" w:after="120"/>
              <w:rPr>
                <w:lang w:val="en-GB"/>
              </w:rPr>
            </w:pPr>
            <w:r>
              <w:rPr>
                <w:lang w:val="en-GB"/>
              </w:rPr>
              <w:t>Norma IEC 60754-1:2011+AMD1:2019, Test on gases evolved during combustion of materials from cables - Part 1: Determination of the halogen acid gas content.</w:t>
            </w:r>
          </w:p>
          <w:p w14:paraId="4C49BFE8">
            <w:pPr>
              <w:numPr>
                <w:ilvl w:val="0"/>
                <w:numId w:val="7"/>
              </w:numPr>
              <w:spacing w:before="120" w:after="120"/>
            </w:pPr>
            <w:r>
              <w:t>Norma IEC 61156-1:2023, Cables multiconductores y par/quad simétricos para las comunicaciones digitales. Parte 1 Especificaciones genéricas.</w:t>
            </w:r>
          </w:p>
          <w:p w14:paraId="4453F50F">
            <w:pPr>
              <w:numPr>
                <w:ilvl w:val="0"/>
                <w:numId w:val="7"/>
              </w:numPr>
              <w:spacing w:before="120" w:after="120"/>
            </w:pPr>
            <w:r>
              <w:t>Norma IEC 61196-1:2005, Cables coaxiales de comunicación - Parte 1: Especificación genérica - General, definiciones y requisitos.</w:t>
            </w:r>
          </w:p>
          <w:p w14:paraId="63ED08C1">
            <w:pPr>
              <w:numPr>
                <w:ilvl w:val="0"/>
                <w:numId w:val="7"/>
              </w:numPr>
              <w:spacing w:before="120" w:after="120"/>
            </w:pPr>
            <w:r>
              <w:t>Norma UL 444:2023, Cables de Comunicación.</w:t>
            </w:r>
          </w:p>
          <w:p w14:paraId="1775B8D2">
            <w:pPr>
              <w:numPr>
                <w:ilvl w:val="0"/>
                <w:numId w:val="7"/>
              </w:numPr>
              <w:spacing w:before="120" w:after="120"/>
            </w:pPr>
            <w:r>
              <w:t>NTE INEN 2538:2010, Cables telefónicos de acometida, instalaciones interiores y de cruzada. Requisitos.</w:t>
            </w:r>
          </w:p>
          <w:p w14:paraId="1A400890">
            <w:pPr>
              <w:spacing w:before="120" w:after="120"/>
            </w:pPr>
            <w:r>
              <w:t>Este documento reemplaza a las siguientes notificaciones conexas:</w:t>
            </w:r>
          </w:p>
          <w:p w14:paraId="25953F9A">
            <w:pPr>
              <w:spacing w:before="120" w:after="120"/>
            </w:pPr>
            <w:r>
              <w:rPr>
                <w:b/>
                <w:bCs/>
              </w:rPr>
              <w:t>Notificaciónes pertinentes:</w:t>
            </w:r>
          </w:p>
          <w:p w14:paraId="69B5AEC4">
            <w:pPr>
              <w:numPr>
                <w:numId w:val="0"/>
              </w:numPr>
              <w:spacing w:before="120" w:after="120"/>
              <w:ind w:left="360" w:leftChars="0"/>
            </w:pPr>
            <w:r>
              <w:fldChar w:fldCharType="begin"/>
            </w:r>
            <w:r>
              <w:instrText xml:space="preserve"> HYPERLINK "https://eping.wto.org/es/Search/Index?viewData=G/TBT/N/ECU/280"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G/TBT/N/ECU/280</w:t>
            </w:r>
            <w:r>
              <w:rPr>
                <w:color w:val="0000FF"/>
                <w:u w:val="single"/>
              </w:rPr>
              <w:fldChar w:fldCharType="end"/>
            </w:r>
          </w:p>
          <w:p w14:paraId="79FE7B67">
            <w:pPr>
              <w:numPr>
                <w:numId w:val="0"/>
              </w:numPr>
              <w:spacing w:before="120" w:after="120"/>
              <w:ind w:left="360" w:leftChars="0"/>
              <w:rPr>
                <w:lang w:val="en-GB"/>
              </w:rPr>
            </w:pPr>
            <w:r>
              <w:fldChar w:fldCharType="begin"/>
            </w:r>
            <w:r>
              <w:instrText xml:space="preserve"> HYPERLINK "https://eping.wto.org/es/Search/Index?viewData=G/TBT/N/ECU/280/Add.1" </w:instrText>
            </w:r>
            <w:r>
              <w:fldChar w:fldCharType="separate"/>
            </w:r>
            <w:r>
              <w:rPr>
                <w:color w:val="0000FF"/>
                <w:u w:val="single"/>
                <w:lang w:val="en-GB"/>
              </w:rPr>
              <w:t>G/TBT/N/ECU/280/Add.1</w:t>
            </w:r>
            <w:r>
              <w:rPr>
                <w:color w:val="0000FF"/>
                <w:u w:val="single"/>
                <w:lang w:val="en-GB"/>
              </w:rPr>
              <w:fldChar w:fldCharType="end"/>
            </w:r>
          </w:p>
          <w:p w14:paraId="32D11555">
            <w:pPr>
              <w:numPr>
                <w:numId w:val="0"/>
              </w:numPr>
              <w:spacing w:before="120" w:after="120"/>
              <w:ind w:left="360" w:leftChars="0"/>
              <w:rPr>
                <w:lang w:val="en-GB"/>
              </w:rPr>
            </w:pPr>
            <w:r>
              <w:fldChar w:fldCharType="begin"/>
            </w:r>
            <w:r>
              <w:instrText xml:space="preserve"> HYPERLINK "https://eping.wto.org/es/Search/Index?viewData=G/TBT/N/ECU/280/Add.2" </w:instrText>
            </w:r>
            <w:r>
              <w:fldChar w:fldCharType="separate"/>
            </w:r>
            <w:r>
              <w:rPr>
                <w:color w:val="0000FF"/>
                <w:u w:val="single"/>
                <w:lang w:val="en-GB"/>
              </w:rPr>
              <w:t>G/TBT/N/ECU/280/Add.2</w:t>
            </w:r>
            <w:r>
              <w:rPr>
                <w:color w:val="0000FF"/>
                <w:u w:val="single"/>
                <w:lang w:val="en-GB"/>
              </w:rPr>
              <w:fldChar w:fldCharType="end"/>
            </w:r>
          </w:p>
          <w:p w14:paraId="100FF62D">
            <w:pPr>
              <w:numPr>
                <w:ilvl w:val="0"/>
                <w:numId w:val="0"/>
              </w:numPr>
              <w:spacing w:before="120" w:after="120"/>
              <w:ind w:left="360" w:leftChars="0"/>
              <w:rPr>
                <w:lang w:val="en-GB"/>
              </w:rPr>
            </w:pPr>
            <w:r>
              <w:fldChar w:fldCharType="begin"/>
            </w:r>
            <w:r>
              <w:instrText xml:space="preserve"> HYPERLINK "https://eping.wto.org/es/Search/Index?viewData=G/TBT/N/ECU/424"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G/TBT/N/ECU/424</w:t>
            </w:r>
            <w:r>
              <w:rPr>
                <w:color w:val="0000FF"/>
                <w:u w:val="single"/>
              </w:rPr>
              <w:fldChar w:fldCharType="end"/>
            </w:r>
          </w:p>
        </w:tc>
      </w:tr>
      <w:tr w14:paraId="5B49575C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379784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5BC8FD2">
            <w:pPr>
              <w:spacing w:before="120" w:after="120"/>
              <w:rPr>
                <w:bCs/>
              </w:rPr>
            </w:pPr>
            <w:r>
              <w:rPr>
                <w:b/>
              </w:rPr>
              <w:t>Fecha propuesta de adopción:</w:t>
            </w:r>
            <w:r>
              <w:t xml:space="preserve"> Por determinar</w:t>
            </w:r>
          </w:p>
          <w:p w14:paraId="0DE668A6">
            <w:pPr>
              <w:spacing w:after="120"/>
              <w:rPr>
                <w:b/>
              </w:rPr>
            </w:pPr>
            <w:r>
              <w:rPr>
                <w:b/>
              </w:rPr>
              <w:t>Fecha propuesta de entrada en vigor:</w:t>
            </w:r>
            <w:r>
              <w:t xml:space="preserve"> 6 meses después de su adopción</w:t>
            </w:r>
          </w:p>
        </w:tc>
      </w:tr>
      <w:tr w14:paraId="3191CA8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7A940F6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1D8452C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rFonts w:hint="default" w:eastAsia="宋体"/>
                <w:lang w:val="en-US" w:eastAsia="zh-CN"/>
              </w:rPr>
            </w:pPr>
            <w:r>
              <w:rPr>
                <w:b/>
              </w:rPr>
              <w:t>Fecha límite para la presentación de observaciones:</w:t>
            </w:r>
            <w:r>
              <w:t xml:space="preserve"> 2</w:t>
            </w:r>
            <w:r>
              <w:rPr>
                <w:rFonts w:hint="eastAsia" w:eastAsia="宋体"/>
                <w:lang w:val="en-US" w:eastAsia="zh-CN"/>
              </w:rPr>
              <w:t>6</w:t>
            </w:r>
            <w:r>
              <w:t xml:space="preserve"> de agosto de 2025</w:t>
            </w:r>
            <w:r>
              <w:rPr>
                <w:rFonts w:hint="eastAsia" w:eastAsia="宋体"/>
                <w:lang w:eastAsia="zh-CN"/>
              </w:rPr>
              <w:t>，</w:t>
            </w:r>
            <w:r>
              <w:rPr>
                <w:rFonts w:hint="eastAsia" w:eastAsia="宋体"/>
                <w:lang w:val="en-US" w:eastAsia="zh-CN"/>
              </w:rPr>
              <w:t xml:space="preserve"> </w:t>
            </w:r>
            <w:r>
              <w:rPr>
                <w:b/>
              </w:rPr>
              <w:t>[X] 60 días a partir de la fecha de notificación</w:t>
            </w:r>
            <w:r>
              <w:rPr>
                <w:bCs/>
              </w:rPr>
              <w:t xml:space="preserve"> </w:t>
            </w:r>
          </w:p>
        </w:tc>
      </w:tr>
      <w:tr w14:paraId="56F07A30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41141235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3A0B61AE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 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021460CB">
            <w:pPr>
              <w:rPr>
                <w:bCs/>
              </w:rPr>
            </w:pPr>
            <w:r>
              <w:rPr>
                <w:bCs/>
              </w:rPr>
              <w:t>Organismo:</w:t>
            </w:r>
          </w:p>
          <w:p w14:paraId="62D20A76">
            <w:pPr>
              <w:rPr>
                <w:bCs/>
              </w:rPr>
            </w:pPr>
            <w:r>
              <w:rPr>
                <w:bCs/>
              </w:rPr>
              <w:t>Ministerio de Producción, Comercio Exterior, Inversiones y Pesca - MPCEIP;</w:t>
            </w:r>
          </w:p>
          <w:p w14:paraId="2EE82BFC">
            <w:pPr>
              <w:rPr>
                <w:bCs/>
              </w:rPr>
            </w:pPr>
            <w:r>
              <w:rPr>
                <w:bCs/>
              </w:rPr>
              <w:t>Subsecretaría de la Calidad</w:t>
            </w:r>
          </w:p>
          <w:p w14:paraId="1BEC283C">
            <w:pPr>
              <w:rPr>
                <w:bCs/>
              </w:rPr>
            </w:pPr>
            <w:r>
              <w:rPr>
                <w:bCs/>
              </w:rPr>
              <w:t>Persona de contacto principal:</w:t>
            </w:r>
          </w:p>
          <w:p w14:paraId="4DD0366D">
            <w:pPr>
              <w:rPr>
                <w:bCs/>
              </w:rPr>
            </w:pPr>
            <w:r>
              <w:rPr>
                <w:bCs/>
              </w:rPr>
              <w:t>Cristian Eduardo Yépez Jaramillo</w:t>
            </w:r>
          </w:p>
          <w:p w14:paraId="47C4C904">
            <w:pPr>
              <w:rPr>
                <w:bCs/>
              </w:rPr>
            </w:pPr>
            <w:r>
              <w:rPr>
                <w:bCs/>
              </w:rPr>
              <w:t>Plataforma Gubernamental de Gestión Financiera</w:t>
            </w:r>
          </w:p>
          <w:p w14:paraId="63607AFD">
            <w:pPr>
              <w:rPr>
                <w:bCs/>
              </w:rPr>
            </w:pPr>
            <w:r>
              <w:rPr>
                <w:bCs/>
              </w:rPr>
              <w:t>Av. Amazonas entre Unión Nacional de Periodistas y Alfonso Pereira</w:t>
            </w:r>
          </w:p>
          <w:p w14:paraId="075B2244">
            <w:pPr>
              <w:rPr>
                <w:bCs/>
              </w:rPr>
            </w:pPr>
            <w:r>
              <w:rPr>
                <w:bCs/>
              </w:rPr>
              <w:t>Piso 8</w:t>
            </w:r>
          </w:p>
          <w:p w14:paraId="4E3E42D3">
            <w:pPr>
              <w:rPr>
                <w:bCs/>
              </w:rPr>
            </w:pPr>
            <w:r>
              <w:rPr>
                <w:bCs/>
              </w:rPr>
              <w:t>Bloque Amarillo</w:t>
            </w:r>
          </w:p>
          <w:p w14:paraId="4596745D">
            <w:pPr>
              <w:rPr>
                <w:bCs/>
              </w:rPr>
            </w:pPr>
            <w:r>
              <w:rPr>
                <w:bCs/>
              </w:rPr>
              <w:t>Quito EC170522</w:t>
            </w:r>
          </w:p>
          <w:p w14:paraId="37FAFA37">
            <w:pPr>
              <w:rPr>
                <w:bCs/>
              </w:rPr>
            </w:pPr>
            <w:r>
              <w:rPr>
                <w:bCs/>
              </w:rPr>
              <w:t xml:space="preserve">Tel: +(593 2) 3948760; </w:t>
            </w:r>
            <w:bookmarkStart w:id="10" w:name="_GoBack"/>
            <w:bookmarkEnd w:id="10"/>
            <w:r>
              <w:rPr>
                <w:bCs/>
              </w:rPr>
              <w:t>Ext. 2254; Ext. 2252</w:t>
            </w:r>
          </w:p>
          <w:p w14:paraId="325DCF12">
            <w:pPr>
              <w:rPr>
                <w:bCs/>
              </w:rPr>
            </w:pPr>
            <w:r>
              <w:rPr>
                <w:bCs/>
              </w:rPr>
              <w:t>Correo electrónico:</w:t>
            </w:r>
          </w:p>
          <w:p w14:paraId="53DDBD21">
            <w:pPr>
              <w:rPr>
                <w:bCs/>
              </w:rPr>
            </w:pPr>
            <w:r>
              <w:fldChar w:fldCharType="begin"/>
            </w:r>
            <w:r>
              <w:instrText xml:space="preserve"> HYPERLINK "mailto:puntocontacto-otcecu@produccion.gob.ec"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puntocontacto-otcecu@produccion.gob.ec</w:t>
            </w:r>
            <w:r>
              <w:rPr>
                <w:bCs/>
                <w:color w:val="0000FF"/>
                <w:u w:val="single"/>
              </w:rPr>
              <w:fldChar w:fldCharType="end"/>
            </w:r>
            <w:r>
              <w:rPr>
                <w:bCs/>
              </w:rPr>
              <w:t>;</w:t>
            </w:r>
          </w:p>
          <w:p w14:paraId="7CAD81C9">
            <w:pPr>
              <w:rPr>
                <w:bCs/>
              </w:rPr>
            </w:pPr>
            <w:r>
              <w:fldChar w:fldCharType="begin"/>
            </w:r>
            <w:r>
              <w:instrText xml:space="preserve"> HYPERLINK "mailto:puntocontactoecu@gmail.com"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puntocontactoecu@gmail.com</w:t>
            </w:r>
            <w:r>
              <w:rPr>
                <w:bCs/>
                <w:color w:val="0000FF"/>
                <w:u w:val="single"/>
              </w:rPr>
              <w:fldChar w:fldCharType="end"/>
            </w:r>
            <w:r>
              <w:rPr>
                <w:bCs/>
              </w:rPr>
              <w:t>;</w:t>
            </w:r>
          </w:p>
          <w:p w14:paraId="27590451">
            <w:pPr>
              <w:rPr>
                <w:bCs/>
              </w:rPr>
            </w:pPr>
            <w:r>
              <w:fldChar w:fldCharType="begin"/>
            </w:r>
            <w:r>
              <w:instrText xml:space="preserve"> HYPERLINK "mailto:cyepez@produccion.gob.ec"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cyepez@produccion.gob.ec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1D075A7D">
            <w:pPr>
              <w:rPr>
                <w:bCs/>
              </w:rPr>
            </w:pPr>
            <w:r>
              <w:rPr>
                <w:bCs/>
              </w:rPr>
              <w:t>Sitio web:</w:t>
            </w:r>
          </w:p>
          <w:p w14:paraId="3E2736B1">
            <w:pPr>
              <w:rPr>
                <w:bCs/>
              </w:rPr>
            </w:pPr>
            <w:r>
              <w:fldChar w:fldCharType="begin"/>
            </w:r>
            <w:r>
              <w:instrText xml:space="preserve"> HYPERLINK "https://www.produccion.gob.ec/"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https://www.produccion.gob.ec/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17298064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lang w:val="en-GB"/>
              </w:rPr>
            </w:pPr>
          </w:p>
          <w:p w14:paraId="0AEA4EE0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lang w:val="en-GB"/>
              </w:rPr>
            </w:pPr>
            <w:r>
              <w:fldChar w:fldCharType="begin"/>
            </w:r>
            <w:r>
              <w:instrText xml:space="preserve"> HYPERLINK "https://members.wto.org/crnattachments/2025/TBT/ECU/25_04193_00_s.pdf"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https://members.wto.org/crnattachments/2025/TBT/ECU/25_04193_00_s.pdf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</w:tc>
      </w:tr>
    </w:tbl>
    <w:p w14:paraId="628C7208">
      <w:pPr>
        <w:rPr>
          <w:lang w:val="en-GB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47C3D8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7C5EFA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CB08D7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ACFEDB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9" w:name="spsSymbolHeader"/>
    <w:r>
      <w:t>G/TBT/N/ECU/550</w:t>
    </w:r>
    <w:bookmarkEnd w:id="9"/>
  </w:p>
  <w:p w14:paraId="42BA228D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79CC52F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  <w:r>
      <w:t xml:space="preserve"> -</w:t>
    </w:r>
  </w:p>
  <w:p w14:paraId="2E979C1B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15A0CF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6DC6E303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1FFE4AD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50F47A9E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272A5A06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08B3AF">
          <w:pPr>
            <w:rPr>
              <w:szCs w:val="18"/>
              <w:lang w:eastAsia="en-GB"/>
            </w:rPr>
          </w:pPr>
          <w:bookmarkStart w:id="0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E22175">
          <w:pPr>
            <w:jc w:val="right"/>
            <w:rPr>
              <w:b/>
              <w:color w:val="FF0000"/>
              <w:szCs w:val="18"/>
            </w:rPr>
          </w:pPr>
        </w:p>
      </w:tc>
    </w:tr>
    <w:bookmarkEnd w:id="0"/>
    <w:tr w14:paraId="7FDB99E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1ECC6DD3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239E02BC">
          <w:pPr>
            <w:jc w:val="right"/>
            <w:rPr>
              <w:b/>
              <w:szCs w:val="18"/>
            </w:rPr>
          </w:pPr>
        </w:p>
      </w:tc>
    </w:tr>
    <w:tr w14:paraId="72648CD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26ACD258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4F0E4B1E">
          <w:pPr>
            <w:jc w:val="right"/>
            <w:rPr>
              <w:rFonts w:hint="eastAsia" w:eastAsia="宋体"/>
              <w:b/>
              <w:szCs w:val="18"/>
              <w:lang w:eastAsia="zh-CN"/>
            </w:rPr>
          </w:pPr>
          <w:bookmarkStart w:id="1" w:name="bmkSymbols"/>
          <w:r>
            <w:rPr>
              <w:b/>
              <w:szCs w:val="18"/>
            </w:rPr>
            <w:t>G/TBT/N/ECU/55</w:t>
          </w:r>
          <w:bookmarkEnd w:id="1"/>
          <w:r>
            <w:rPr>
              <w:rFonts w:hint="eastAsia" w:eastAsia="宋体"/>
              <w:b/>
              <w:szCs w:val="18"/>
              <w:lang w:val="en-US" w:eastAsia="zh-CN"/>
            </w:rPr>
            <w:t>4</w:t>
          </w:r>
        </w:p>
      </w:tc>
    </w:tr>
    <w:tr w14:paraId="37404CC3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167D3216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BF73F32">
          <w:pPr>
            <w:jc w:val="right"/>
            <w:rPr>
              <w:szCs w:val="18"/>
            </w:rPr>
          </w:pPr>
          <w:bookmarkStart w:id="2" w:name="spsDateDistribution"/>
          <w:bookmarkStart w:id="3" w:name="bmkDate"/>
          <w:r>
            <w:rPr>
              <w:szCs w:val="18"/>
            </w:rPr>
            <w:t>2</w:t>
          </w:r>
          <w:r>
            <w:rPr>
              <w:rFonts w:hint="eastAsia" w:eastAsia="宋体"/>
              <w:szCs w:val="18"/>
              <w:lang w:val="en-US" w:eastAsia="zh-CN"/>
            </w:rPr>
            <w:t>7</w:t>
          </w:r>
          <w:r>
            <w:rPr>
              <w:szCs w:val="18"/>
            </w:rPr>
            <w:t xml:space="preserve"> de junio de 2025</w:t>
          </w:r>
          <w:bookmarkEnd w:id="2"/>
          <w:bookmarkEnd w:id="3"/>
        </w:p>
      </w:tc>
    </w:tr>
    <w:tr w14:paraId="54006AAD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8CDA863">
          <w:pPr>
            <w:jc w:val="left"/>
            <w:rPr>
              <w:b/>
              <w:szCs w:val="18"/>
            </w:rPr>
          </w:pPr>
          <w:bookmarkStart w:id="4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4185</w:t>
          </w:r>
          <w:r>
            <w:rPr>
              <w:b w:val="0"/>
              <w:color w:val="FF0000"/>
            </w:rPr>
            <w:t>)</w:t>
          </w:r>
          <w:bookmarkEnd w:id="4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4C1A5BF">
          <w:pPr>
            <w:jc w:val="right"/>
            <w:rPr>
              <w:szCs w:val="18"/>
            </w:rPr>
          </w:pPr>
          <w:bookmarkStart w:id="5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NUMPAGES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3</w:t>
          </w:r>
          <w:r>
            <w:rPr>
              <w:szCs w:val="18"/>
            </w:rPr>
            <w:fldChar w:fldCharType="end"/>
          </w:r>
          <w:bookmarkEnd w:id="5"/>
        </w:p>
      </w:tc>
    </w:tr>
    <w:tr w14:paraId="26C47FF4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F0943F8">
          <w:pPr>
            <w:jc w:val="left"/>
            <w:rPr>
              <w:szCs w:val="18"/>
            </w:rPr>
          </w:pPr>
          <w:bookmarkStart w:id="6" w:name="bmkCommittee"/>
          <w:r>
            <w:rPr>
              <w:b/>
              <w:szCs w:val="18"/>
            </w:rPr>
            <w:t>Comité de Obstáculos Técnicos al Comercio</w:t>
          </w:r>
          <w:bookmarkEnd w:id="6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18141C3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 xml:space="preserve">Original: </w:t>
          </w:r>
          <w:bookmarkStart w:id="8" w:name="spsOriginalLanguage"/>
          <w:r>
            <w:rPr>
              <w:bCs/>
              <w:szCs w:val="18"/>
            </w:rPr>
            <w:t>español</w:t>
          </w:r>
          <w:bookmarkEnd w:id="7"/>
          <w:bookmarkEnd w:id="8"/>
        </w:p>
      </w:tc>
    </w:tr>
  </w:tbl>
  <w:p w14:paraId="5B6D6A4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3D526BD"/>
    <w:multiLevelType w:val="multilevel"/>
    <w:tmpl w:val="63D526BD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4571F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0E08E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1156F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0FC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613B7"/>
    <w:rsid w:val="009A0D78"/>
    <w:rsid w:val="009C0A4C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37C79"/>
    <w:rsid w:val="00A42A6A"/>
    <w:rsid w:val="00A46611"/>
    <w:rsid w:val="00A52F73"/>
    <w:rsid w:val="00A5462B"/>
    <w:rsid w:val="00A60556"/>
    <w:rsid w:val="00A627A8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7769"/>
    <w:rsid w:val="00ED3396"/>
    <w:rsid w:val="00EE50B7"/>
    <w:rsid w:val="00EF045A"/>
    <w:rsid w:val="00EF756F"/>
    <w:rsid w:val="00F009AC"/>
    <w:rsid w:val="00F11625"/>
    <w:rsid w:val="00F325A3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021839E8"/>
    <w:rsid w:val="218B1207"/>
    <w:rsid w:val="5F8D14FF"/>
    <w:rsid w:val="6424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qFormat="1" w:unhideWhenUsed="0" w:uiPriority="2" w:semiHidden="0" w:name="heading 7"/>
    <w:lsdException w:qFormat="1" w:unhideWhenUsed="0" w:uiPriority="2" w:semiHidden="0" w:name="heading 8"/>
    <w:lsdException w:qFormat="1" w:unhideWhenUsed="0" w:uiPriority="2" w:semiHidden="0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qFormat="1" w:uiPriority="99" w:name="index 8"/>
    <w:lsdException w:qFormat="1"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iPriority="99" w:name="Normal Indent"/>
    <w:lsdException w:qFormat="1" w:unhideWhenUsed="0" w:uiPriority="5" w:semiHidden="0" w:name="footnote text"/>
    <w:lsdException w:qFormat="1"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qFormat="1" w:unhideWhenUsed="0" w:uiPriority="39" w:semiHidden="0" w:name="table of figures"/>
    <w:lsdException w:qFormat="1" w:uiPriority="99" w:name="envelope address"/>
    <w:lsdException w:qFormat="1" w:uiPriority="99" w:name="envelope return"/>
    <w:lsdException w:qFormat="1" w:unhideWhenUsed="0" w:uiPriority="5" w:semiHidden="0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qFormat="1" w:unhideWhenUsed="0" w:uiPriority="49" w:semiHidden="0" w:name="endnote reference"/>
    <w:lsdException w:qFormat="1" w:unhideWhenUsed="0" w:uiPriority="49" w:semiHidden="0" w:name="endnote text"/>
    <w:lsdException w:qFormat="1" w:unhideWhenUsed="0" w:uiPriority="39" w:semiHidden="0" w:name="table of authorities"/>
    <w:lsdException w:qFormat="1" w:uiPriority="99" w:name="macro"/>
    <w:lsdException w:qFormat="1" w:uiPriority="39" w:semiHidden="0" w:name="toa heading"/>
    <w:lsdException w:qFormat="1" w:uiPriority="99" w:name="List"/>
    <w:lsdException w:qFormat="1" w:unhideWhenUsed="0" w:uiPriority="1" w:semiHidden="0" w:name="List Bullet"/>
    <w:lsdException w:qFormat="1" w:uiPriority="4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nhideWhenUsed="0" w:uiPriority="1" w:semiHidden="0" w:name="List Bullet 2"/>
    <w:lsdException w:qFormat="1" w:unhideWhenUsed="0" w:uiPriority="1" w:semiHidden="0" w:name="List Bullet 3"/>
    <w:lsdException w:qFormat="1" w:unhideWhenUsed="0" w:uiPriority="1" w:semiHidden="0" w:name="List Bullet 4"/>
    <w:lsdException w:qFormat="1" w:unhideWhenUsed="0" w:uiPriority="1" w:semiHidden="0" w:name="List Bullet 5"/>
    <w:lsdException w:qFormat="1" w:uiPriority="49" w:name="List Number 2"/>
    <w:lsdException w:qFormat="1" w:uiPriority="49" w:name="List Number 3"/>
    <w:lsdException w:qFormat="1" w:uiPriority="49" w:name="List Number 4"/>
    <w:lsdException w:qFormat="1" w:uiPriority="49" w:name="List Number 5"/>
    <w:lsdException w:qFormat="1" w:unhideWhenUsed="0" w:uiPriority="5" w:semiHidden="0" w:name="Title"/>
    <w:lsdException w:qFormat="1" w:uiPriority="99" w:name="Closing"/>
    <w:lsdException w:qFormat="1"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nhideWhenUsed="0" w:uiPriority="6" w:semiHidden="0" w:name="Subtitle"/>
    <w:lsdException w:qFormat="1" w:uiPriority="99" w:name="Salutation"/>
    <w:lsdException w:qFormat="1" w:uiPriority="99" w:name="Date"/>
    <w:lsdException w:qFormat="1" w:uiPriority="99" w:name="Body Text First Indent"/>
    <w:lsdException w:qFormat="1" w:uiPriority="99" w:name="Body Text First Indent 2"/>
    <w:lsdException w:qFormat="1"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qFormat="1" w:uiPriority="9" w:semiHidden="0" w:name="Hyperlink"/>
    <w:lsdException w:qFormat="1"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qFormat="1" w:uiPriority="99" w:semiHidden="0" w:name="Plain Text"/>
    <w:lsdException w:qFormat="1" w:uiPriority="99" w:name="E-mail Signature"/>
    <w:lsdException w:qFormat="1"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qFormat="1" w:uiPriority="99" w:semiHidden="0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qFormat="1"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qFormat="1" w:uiPriority="99" w:name="Table 3D effects 1"/>
    <w:lsdException w:qFormat="1"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qFormat="1" w:unhideWhenUsed="0" w:uiPriority="59" w:semiHidden="0" w:name="Table Grid"/>
    <w:lsdException w:qFormat="1" w:uiPriority="99" w:name="Table Theme"/>
    <w:lsdException w:qFormat="1" w:unhideWhenUsed="0" w:uiPriority="99" w:name="Placeholder Text"/>
    <w:lsdException w:qFormat="1" w:unhideWhenUsed="0" w:uiPriority="1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qFormat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qFormat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qFormat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qFormat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qFormat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qFormat/>
    <w:uiPriority w:val="99"/>
  </w:style>
  <w:style w:type="paragraph" w:styleId="21">
    <w:name w:val="List Number"/>
    <w:basedOn w:val="1"/>
    <w:semiHidden/>
    <w:unhideWhenUsed/>
    <w:qFormat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qFormat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qFormat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qFormat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qFormat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qFormat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qFormat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qFormat/>
    <w:uiPriority w:val="99"/>
    <w:pPr>
      <w:ind w:left="4252"/>
    </w:pPr>
  </w:style>
  <w:style w:type="paragraph" w:styleId="34">
    <w:name w:val="List Bullet 3"/>
    <w:basedOn w:val="1"/>
    <w:qFormat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qFormat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qFormat/>
    <w:uiPriority w:val="49"/>
    <w:pPr>
      <w:contextualSpacing/>
    </w:pPr>
  </w:style>
  <w:style w:type="paragraph" w:styleId="37">
    <w:name w:val="List 2"/>
    <w:basedOn w:val="1"/>
    <w:semiHidden/>
    <w:unhideWhenUsed/>
    <w:qFormat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qFormat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qFormat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qFormat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qFormat/>
    <w:uiPriority w:val="99"/>
    <w:rPr>
      <w:i/>
      <w:iCs/>
    </w:rPr>
  </w:style>
  <w:style w:type="paragraph" w:styleId="42">
    <w:name w:val="index 4"/>
    <w:basedOn w:val="1"/>
    <w:next w:val="1"/>
    <w:semiHidden/>
    <w:unhideWhenUsed/>
    <w:qFormat/>
    <w:uiPriority w:val="99"/>
    <w:pPr>
      <w:ind w:left="720" w:hanging="180"/>
    </w:pPr>
  </w:style>
  <w:style w:type="paragraph" w:styleId="43">
    <w:name w:val="toc 5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qFormat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qFormat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qFormat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qFormat/>
    <w:uiPriority w:val="99"/>
  </w:style>
  <w:style w:type="paragraph" w:styleId="51">
    <w:name w:val="Body Text Indent 2"/>
    <w:basedOn w:val="1"/>
    <w:link w:val="292"/>
    <w:semiHidden/>
    <w:unhideWhenUsed/>
    <w:qFormat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qFormat/>
    <w:uiPriority w:val="49"/>
    <w:rPr>
      <w:szCs w:val="20"/>
    </w:rPr>
  </w:style>
  <w:style w:type="paragraph" w:styleId="53">
    <w:name w:val="footnote text"/>
    <w:basedOn w:val="1"/>
    <w:link w:val="264"/>
    <w:qFormat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qFormat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qFormat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qFormat/>
    <w:uiPriority w:val="99"/>
    <w:pPr>
      <w:ind w:left="4252"/>
    </w:pPr>
  </w:style>
  <w:style w:type="paragraph" w:styleId="60">
    <w:name w:val="toc 1"/>
    <w:basedOn w:val="1"/>
    <w:next w:val="1"/>
    <w:qFormat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qFormat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qFormat/>
    <w:uiPriority w:val="49"/>
    <w:pPr>
      <w:contextualSpacing/>
    </w:pPr>
  </w:style>
  <w:style w:type="paragraph" w:styleId="67">
    <w:name w:val="List"/>
    <w:basedOn w:val="1"/>
    <w:semiHidden/>
    <w:unhideWhenUsed/>
    <w:qFormat/>
    <w:uiPriority w:val="99"/>
    <w:pPr>
      <w:ind w:left="283" w:hanging="283"/>
      <w:contextualSpacing/>
    </w:pPr>
  </w:style>
  <w:style w:type="paragraph" w:styleId="68">
    <w:name w:val="toc 6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qFormat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qFormat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qFormat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qFormat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qFormat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qFormat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qFormat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qFormat/>
    <w:uiPriority w:val="99"/>
    <w:pPr>
      <w:spacing w:after="0"/>
      <w:ind w:left="360" w:firstLine="360"/>
    </w:pPr>
  </w:style>
  <w:style w:type="table" w:styleId="89">
    <w:name w:val="Table Grid"/>
    <w:basedOn w:val="88"/>
    <w:qFormat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qFormat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qFormat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qFormat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qFormat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qFormat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qFormat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qFormat/>
    <w:uiPriority w:val="49"/>
    <w:rPr>
      <w:vertAlign w:val="superscript"/>
      <w:lang w:val="es-ES"/>
    </w:rPr>
  </w:style>
  <w:style w:type="character" w:styleId="234">
    <w:name w:val="page number"/>
    <w:semiHidden/>
    <w:unhideWhenUsed/>
    <w:qFormat/>
    <w:uiPriority w:val="99"/>
    <w:rPr>
      <w:lang w:val="es-ES"/>
    </w:rPr>
  </w:style>
  <w:style w:type="character" w:styleId="235">
    <w:name w:val="FollowedHyperlink"/>
    <w:unhideWhenUsed/>
    <w:qFormat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qFormat/>
    <w:uiPriority w:val="99"/>
    <w:rPr>
      <w:lang w:val="es-ES"/>
    </w:rPr>
  </w:style>
  <w:style w:type="character" w:styleId="238">
    <w:name w:val="HTML Definition"/>
    <w:semiHidden/>
    <w:unhideWhenUsed/>
    <w:qFormat/>
    <w:uiPriority w:val="99"/>
    <w:rPr>
      <w:i/>
      <w:iCs/>
      <w:lang w:val="es-ES"/>
    </w:rPr>
  </w:style>
  <w:style w:type="character" w:styleId="239">
    <w:name w:val="HTML Typewriter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qFormat/>
    <w:uiPriority w:val="99"/>
    <w:rPr>
      <w:lang w:val="es-ES"/>
    </w:rPr>
  </w:style>
  <w:style w:type="character" w:styleId="241">
    <w:name w:val="HTML Variable"/>
    <w:semiHidden/>
    <w:unhideWhenUsed/>
    <w:qFormat/>
    <w:uiPriority w:val="99"/>
    <w:rPr>
      <w:i/>
      <w:iCs/>
      <w:lang w:val="es-ES"/>
    </w:rPr>
  </w:style>
  <w:style w:type="character" w:styleId="242">
    <w:name w:val="Hyperlink"/>
    <w:unhideWhenUsed/>
    <w:qFormat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qFormat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qFormat/>
    <w:uiPriority w:val="99"/>
    <w:rPr>
      <w:i/>
      <w:iCs/>
      <w:lang w:val="es-ES"/>
    </w:rPr>
  </w:style>
  <w:style w:type="character" w:styleId="246">
    <w:name w:val="footnote reference"/>
    <w:qFormat/>
    <w:uiPriority w:val="5"/>
    <w:rPr>
      <w:vertAlign w:val="superscript"/>
      <w:lang w:val="es-ES"/>
    </w:rPr>
  </w:style>
  <w:style w:type="character" w:styleId="247">
    <w:name w:val="HTML Keyboard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qFormat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qFormat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qFormat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qFormat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qFormat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qFormat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qFormat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qFormat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qFormat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qFormat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qFormat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qFormat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qFormat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qFormat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qFormat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qFormat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qFormat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qFormat/>
    <w:uiPriority w:val="49"/>
  </w:style>
  <w:style w:type="character" w:customStyle="1" w:styleId="289">
    <w:name w:val="Body Text First Indent Char"/>
    <w:link w:val="86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qFormat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qFormat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qFormat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qFormat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qFormat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qFormat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qFormat/>
    <w:uiPriority w:val="99"/>
    <w:rPr>
      <w:color w:val="808080"/>
      <w:lang w:val="es-ES"/>
    </w:rPr>
  </w:style>
  <w:style w:type="character" w:customStyle="1" w:styleId="312">
    <w:name w:val="Plain Text Char"/>
    <w:link w:val="45"/>
    <w:qFormat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qFormat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  <w:style w:type="character" w:customStyle="1" w:styleId="320">
    <w:name w:val="Unresolved Mention"/>
    <w:basedOn w:val="231"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OMC - WTO</Company>
  <Pages>3</Pages>
  <Words>709</Words>
  <Characters>4356</Characters>
  <Lines>38</Lines>
  <Paragraphs>10</Paragraphs>
  <TotalTime>0</TotalTime>
  <ScaleCrop>false</ScaleCrop>
  <LinksUpToDate>false</LinksUpToDate>
  <CharactersWithSpaces>4998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2025-04-14T10:57:00Z</dcterms:created>
  <dc:creator>Carandang, Edward</dc:creator>
  <dc:description>LDIMD - DTU</dc:description>
  <cp:lastModifiedBy> 譞譞</cp:lastModifiedBy>
  <dcterms:modified xsi:type="dcterms:W3CDTF">2025-06-27T15:20:45Z</dcterms:modified>
  <dc:title>NOTIFICACIÓN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NC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2052-12.1.0.21541</vt:lpwstr>
  </property>
  <property fmtid="{D5CDD505-2E9C-101B-9397-08002B2CF9AE}" pid="7" name="ICV">
    <vt:lpwstr>989711DB24104888AAF5BEC73772E29F_12</vt:lpwstr>
  </property>
</Properties>
</file>