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59E41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27351355">
      <w:pPr>
        <w:jc w:val="center"/>
      </w:pPr>
      <w:r>
        <w:t>Se da traslado de la notificación siguiente de conformidad con el artículo 10.6.</w:t>
      </w:r>
    </w:p>
    <w:p w14:paraId="3A337720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67A8F17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636DD8E5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0826B3F8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ECUADOR</w:t>
            </w:r>
          </w:p>
          <w:p w14:paraId="4FD2DE5A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489681B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7437895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275C19F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4238ACA1">
            <w:r>
              <w:t>Servicio Ecuatoriano de Normalización - INEN</w:t>
            </w:r>
          </w:p>
          <w:p w14:paraId="13437CA0">
            <w:r>
              <w:t>Calle Baquerizo Moreno E8-29 y Diego de Almagro</w:t>
            </w:r>
          </w:p>
          <w:p w14:paraId="1F10BB54">
            <w:r>
              <w:t>Teléfono: (+593-2) 3825960 al 90</w:t>
            </w:r>
          </w:p>
          <w:p w14:paraId="5FEF37A4">
            <w:r>
              <w:t>Página WEB:</w:t>
            </w:r>
          </w:p>
          <w:p w14:paraId="6F8A50D0">
            <w:pPr>
              <w:spacing w:after="120"/>
              <w:rPr>
                <w:color w:val="0000FF"/>
                <w:u w:val="single"/>
              </w:rPr>
            </w:pPr>
            <w:r>
              <w:fldChar w:fldCharType="begin"/>
            </w:r>
            <w:r>
              <w:instrText xml:space="preserve"> HYPERLINK "https://www.normalizacion.gob.ec/" \t "_blank"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https://www.normalizacion.gob.ec/</w:t>
            </w:r>
            <w:r>
              <w:rPr>
                <w:color w:val="0000FF"/>
                <w:u w:val="single"/>
              </w:rPr>
              <w:fldChar w:fldCharType="end"/>
            </w:r>
          </w:p>
          <w:p w14:paraId="18FD4D9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67F523F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0FACD27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9D2730">
            <w:pPr>
              <w:spacing w:before="120" w:after="120"/>
            </w:pPr>
            <w:r>
              <w:rPr>
                <w:b/>
              </w:rPr>
              <w:t>Notificación hecha en virtud del artículo 2.9.2 [X], 2.10.1 [ ], 5.6.2 [ ], 5.7.1 [ ], 3.2 [ ], 7.2 [ ], o en virtud de:</w:t>
            </w:r>
            <w:r>
              <w:t xml:space="preserve"> </w:t>
            </w:r>
          </w:p>
        </w:tc>
      </w:tr>
      <w:tr w14:paraId="5C275183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272B305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41C18C3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Calentadores de agua de calentamiento instantáneo o de acumulación (excepto los eléctricos) (Código(s) del SA: 84191)</w:t>
            </w:r>
          </w:p>
          <w:p w14:paraId="104F7131">
            <w:pPr>
              <w:spacing w:before="120" w:after="120"/>
            </w:pPr>
            <w:r>
              <w:t>Calentadores de calentamiento instantáneo, de gas (exc. calderas de calefacción central) (Código(s) del SA: 841911); Calentadores de agua instantáneos o acumuladores, no eléctricos (exc. calentadores de agua instantáneos a gas, calentadores de agua solares y calderas o calentadores de agua para calefacción central) (Código(s) del SA: 841919)</w:t>
            </w:r>
          </w:p>
        </w:tc>
      </w:tr>
      <w:tr w14:paraId="05FADFA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6EE9A0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9059391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PROYECTO DE REGLAMENTO TÉCNICO ECUATORIANO PRTE INEN 109 (2R) "SEGURIDAD Y EFICIENCIA TÉRMICA DE CALENTADORES DE AGUA A GAS"; (28 página(s), en español)</w:t>
            </w:r>
          </w:p>
        </w:tc>
      </w:tr>
      <w:tr w14:paraId="5790194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46278BD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FBF524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>La presente Resolución aplica a los siguientes productos sean estos nacionales o importados que se comercialicen en el Ecuador:</w:t>
            </w:r>
          </w:p>
          <w:p w14:paraId="52F864C8">
            <w:pPr>
              <w:numPr>
                <w:ilvl w:val="0"/>
                <w:numId w:val="7"/>
              </w:numPr>
              <w:spacing w:before="120" w:after="120"/>
            </w:pPr>
            <w:r>
              <w:t>Calentadores de agua de tipo almacenamiento, que utilicen gases combustibles como el GLP o gas natural, con una potencia útil nominal no mayor a 108 kW.</w:t>
            </w:r>
          </w:p>
          <w:p w14:paraId="1DAAC28E">
            <w:pPr>
              <w:numPr>
                <w:ilvl w:val="0"/>
                <w:numId w:val="8"/>
              </w:numPr>
              <w:spacing w:before="120" w:after="120"/>
            </w:pPr>
            <w:r>
              <w:t>Calentadores de agua de tipo instantáneo, que utilicen gases combustibles como el GLP o gas natural, con una potencia útil nominal no mayor a 108 kW.</w:t>
            </w:r>
          </w:p>
        </w:tc>
      </w:tr>
      <w:tr w14:paraId="6CF1EC9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E276D92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9A368A2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>Prevención de prácticas que puedan inducir a error y protección del consumidor; Protección de la salud o seguridad humanas; Protección del medio ambiente</w:t>
            </w:r>
          </w:p>
        </w:tc>
      </w:tr>
      <w:tr w14:paraId="262B826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80E1940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FEB6F4F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6406680A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 2859-1:1999+Amd 1:2011, </w:t>
            </w:r>
            <w:r>
              <w:rPr>
                <w:i/>
                <w:iCs/>
              </w:rPr>
              <w:t>Procedimientos de muestreo para inspección por atributos. Parte 1. Programas de muestreo clasificados por el nivel aceptable de calidad (AQL) para inspección lote a lote.</w:t>
            </w:r>
          </w:p>
          <w:p w14:paraId="64D23507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ISO/IEC 17025:2017, </w:t>
            </w:r>
            <w:r>
              <w:rPr>
                <w:i/>
                <w:iCs/>
              </w:rPr>
              <w:t>Requisitos generales para la competencia de los laboratorios de ensayo y calibración.</w:t>
            </w:r>
          </w:p>
          <w:p w14:paraId="6F492EDF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ISO/IEC 17050-1:2004, </w:t>
            </w:r>
            <w:r>
              <w:rPr>
                <w:i/>
                <w:iCs/>
              </w:rPr>
              <w:t>Evaluación de la Conformidad – Declaración de la conformidad del proveedor. Parte 1: Requisitos Generales.</w:t>
            </w:r>
          </w:p>
          <w:p w14:paraId="65981F57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ISO/IEC 17067:2013, </w:t>
            </w:r>
            <w:r>
              <w:rPr>
                <w:i/>
                <w:iCs/>
              </w:rPr>
              <w:t>Evaluación de la conformidad. Fundamentos de certificación de productos y directrices aplicables a los esquemas de certificación de producto.</w:t>
            </w:r>
          </w:p>
          <w:p w14:paraId="17F7300A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ISO/IEC 18004:2024, </w:t>
            </w:r>
            <w:r>
              <w:rPr>
                <w:i/>
                <w:iCs/>
              </w:rPr>
              <w:t>Information technology — Automatic identification and data capture techniques — QR code bar code symbology specification.</w:t>
            </w:r>
          </w:p>
          <w:p w14:paraId="00FAA489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EN 26:2023, </w:t>
            </w:r>
            <w:r>
              <w:rPr>
                <w:i/>
                <w:iCs/>
              </w:rPr>
              <w:t>Aparatos de producción instantánea de agua caliente para usos sanitarios que utilizan combustibles gaseosos.</w:t>
            </w:r>
          </w:p>
          <w:p w14:paraId="2A86D863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EN 89:2015, </w:t>
            </w:r>
            <w:r>
              <w:rPr>
                <w:i/>
                <w:iCs/>
              </w:rPr>
              <w:t>Aparatos de producción de agua caliente por acumulación para usos sanitarios que utilizan combustibles gaseosos.</w:t>
            </w:r>
          </w:p>
          <w:p w14:paraId="122825C9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oficial mexicana NOM-003-ENER-2011, </w:t>
            </w:r>
            <w:r>
              <w:rPr>
                <w:i/>
                <w:iCs/>
              </w:rPr>
              <w:t>Eficiencia térmica de calentadores de agua para uso doméstico y comercial. Limites, método de prueba y etiquetado.</w:t>
            </w:r>
          </w:p>
          <w:p w14:paraId="293E4A81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NTE INEN 2187(1R):2011, </w:t>
            </w:r>
            <w:r>
              <w:rPr>
                <w:i/>
                <w:iCs/>
              </w:rPr>
              <w:t>Calentadores de agua a gas de paso tipo instantáneo para uso doméstico. Requisitos e inspección.</w:t>
            </w:r>
          </w:p>
          <w:p w14:paraId="55BCF4B7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NTE INEN 2603:2012, </w:t>
            </w:r>
            <w:r>
              <w:rPr>
                <w:i/>
                <w:iCs/>
              </w:rPr>
              <w:t>Calentadores de agua a gas. Requisitos e inspección.</w:t>
            </w:r>
          </w:p>
          <w:p w14:paraId="4D04FB5D">
            <w:pPr>
              <w:spacing w:before="120" w:after="120"/>
            </w:pPr>
            <w:r>
              <w:t>Este documento reemplaza a las siguientes notificaciones conexas:</w:t>
            </w:r>
          </w:p>
          <w:p w14:paraId="532C1013">
            <w:pPr>
              <w:spacing w:before="120" w:after="120"/>
            </w:pPr>
            <w:r>
              <w:rPr>
                <w:b/>
                <w:bCs/>
              </w:rPr>
              <w:t>Notificaciónes pertinentes:</w:t>
            </w:r>
          </w:p>
          <w:p w14:paraId="5C719B51">
            <w:pPr>
              <w:numPr>
                <w:numId w:val="0"/>
              </w:numPr>
              <w:spacing w:before="120" w:after="120"/>
              <w:ind w:left="360" w:leftChars="0"/>
            </w:pPr>
            <w:r>
              <w:fldChar w:fldCharType="begin"/>
            </w:r>
            <w:r>
              <w:instrText xml:space="preserve"> HYPERLINK "https://eping.wto.org/es/Search/Index?viewData=G/TBT/N/ECU/184"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G/TBT/N/ECU/184</w:t>
            </w:r>
            <w:r>
              <w:rPr>
                <w:color w:val="0000FF"/>
                <w:u w:val="single"/>
              </w:rPr>
              <w:fldChar w:fldCharType="end"/>
            </w:r>
          </w:p>
          <w:p w14:paraId="0D605A48">
            <w:pPr>
              <w:numPr>
                <w:numId w:val="0"/>
              </w:numPr>
              <w:spacing w:before="120" w:after="120"/>
              <w:ind w:left="360" w:leftChars="0"/>
            </w:pPr>
            <w:r>
              <w:fldChar w:fldCharType="begin"/>
            </w:r>
            <w:r>
              <w:instrText xml:space="preserve"> HYPERLINK "https://eping.wto.org/es/Search/Index?viewData=G/TBT/N/ECU/184/Add.1"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G/TBT/N/ECU/184/Add.1</w:t>
            </w:r>
            <w:r>
              <w:rPr>
                <w:color w:val="0000FF"/>
                <w:u w:val="single"/>
              </w:rPr>
              <w:fldChar w:fldCharType="end"/>
            </w:r>
          </w:p>
          <w:p w14:paraId="44742631">
            <w:pPr>
              <w:numPr>
                <w:numId w:val="0"/>
              </w:numPr>
              <w:spacing w:before="120" w:after="120"/>
              <w:ind w:left="360" w:leftChars="0"/>
            </w:pPr>
            <w:r>
              <w:fldChar w:fldCharType="begin"/>
            </w:r>
            <w:r>
              <w:instrText xml:space="preserve"> HYPERLINK "https://eping.wto.org/es/Search/Index?viewData=G/TBT/N/ECU/184/Add.2"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G/TBT/N/ECU/184/Add.2</w:t>
            </w:r>
            <w:r>
              <w:rPr>
                <w:color w:val="0000FF"/>
                <w:u w:val="single"/>
              </w:rPr>
              <w:fldChar w:fldCharType="end"/>
            </w:r>
          </w:p>
          <w:p w14:paraId="36E9FBD2">
            <w:pPr>
              <w:numPr>
                <w:numId w:val="0"/>
              </w:numPr>
              <w:spacing w:before="120" w:after="120"/>
              <w:ind w:left="360" w:leftChars="0"/>
            </w:pPr>
            <w:r>
              <w:fldChar w:fldCharType="begin"/>
            </w:r>
            <w:r>
              <w:instrText xml:space="preserve"> HYPERLINK "https://eping.wto.org/es/Search/Index?viewData=G/TBT/N/ECU/184/Add.3"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G/TBT/N/ECU/184/Add.3</w:t>
            </w:r>
            <w:r>
              <w:rPr>
                <w:color w:val="0000FF"/>
                <w:u w:val="single"/>
              </w:rPr>
              <w:fldChar w:fldCharType="end"/>
            </w:r>
          </w:p>
          <w:p w14:paraId="496E6ED8">
            <w:pPr>
              <w:numPr>
                <w:numId w:val="0"/>
              </w:numPr>
              <w:spacing w:before="120" w:after="120"/>
              <w:ind w:left="360" w:leftChars="0"/>
            </w:pPr>
            <w:r>
              <w:fldChar w:fldCharType="begin"/>
            </w:r>
            <w:r>
              <w:instrText xml:space="preserve"> HYPERLINK "https://eping.wto.org/es/Search/Index?viewData=G/TBT/N/ECU/437"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G/TBT/N/ECU/437</w:t>
            </w:r>
            <w:r>
              <w:rPr>
                <w:color w:val="0000FF"/>
                <w:u w:val="single"/>
              </w:rPr>
              <w:fldChar w:fldCharType="end"/>
            </w:r>
          </w:p>
          <w:p w14:paraId="2C9F4038">
            <w:pPr>
              <w:numPr>
                <w:numId w:val="0"/>
              </w:numPr>
              <w:spacing w:before="120" w:after="120"/>
              <w:ind w:left="360" w:leftChars="0"/>
              <w:rPr>
                <w:lang w:val="pt-PT"/>
              </w:rPr>
            </w:pPr>
            <w:r>
              <w:fldChar w:fldCharType="begin"/>
            </w:r>
            <w:r>
              <w:instrText xml:space="preserve"> HYPERLINK "https://eping.wto.org/es/Search/Index?viewData=G/TBT/N/ECU/437/Rev.1" </w:instrText>
            </w:r>
            <w:r>
              <w:fldChar w:fldCharType="separate"/>
            </w:r>
            <w:r>
              <w:rPr>
                <w:color w:val="0000FF"/>
                <w:u w:val="single"/>
                <w:lang w:val="pt-PT"/>
              </w:rPr>
              <w:t>G/TBT/N/ECU/437/Rev.1</w:t>
            </w:r>
            <w:r>
              <w:rPr>
                <w:color w:val="0000FF"/>
                <w:u w:val="single"/>
                <w:lang w:val="pt-PT"/>
              </w:rPr>
              <w:fldChar w:fldCharType="end"/>
            </w:r>
          </w:p>
          <w:p w14:paraId="72A55959">
            <w:pPr>
              <w:numPr>
                <w:ilvl w:val="0"/>
                <w:numId w:val="0"/>
              </w:numPr>
              <w:spacing w:before="120" w:after="120"/>
              <w:ind w:left="360" w:leftChars="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"https://eping.wto.org/es/Search/Index?viewData=G/TBT/N/ECU/437/Rev.2" </w:instrText>
            </w:r>
            <w:r>
              <w:fldChar w:fldCharType="separate"/>
            </w:r>
            <w:r>
              <w:rPr>
                <w:color w:val="0000FF"/>
                <w:u w:val="single"/>
                <w:lang w:val="pt-PT"/>
              </w:rPr>
              <w:t>G/TBT/N/ECU/437/Rev.2</w:t>
            </w:r>
            <w:r>
              <w:rPr>
                <w:color w:val="0000FF"/>
                <w:u w:val="single"/>
                <w:lang w:val="pt-PT"/>
              </w:rPr>
              <w:fldChar w:fldCharType="end"/>
            </w:r>
          </w:p>
        </w:tc>
      </w:tr>
      <w:tr w14:paraId="5B49575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3797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5BC8FD2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0DE668A6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6 meses después de su adopción</w:t>
            </w:r>
          </w:p>
        </w:tc>
      </w:tr>
      <w:tr w14:paraId="3191CA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7A940F6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32DDD5C">
            <w:pPr>
              <w:spacing w:before="120" w:after="120"/>
            </w:pPr>
            <w:r>
              <w:rPr>
                <w:b/>
              </w:rPr>
              <w:t>Fecha límite para la presentación de observaciones:</w:t>
            </w:r>
            <w:r>
              <w:t xml:space="preserve"> 2</w:t>
            </w:r>
            <w:r>
              <w:rPr>
                <w:rFonts w:hint="eastAsia" w:eastAsia="宋体"/>
                <w:lang w:val="en-US" w:eastAsia="zh-CN"/>
              </w:rPr>
              <w:t>6</w:t>
            </w:r>
            <w:bookmarkStart w:id="10" w:name="_GoBack"/>
            <w:bookmarkEnd w:id="10"/>
            <w:r>
              <w:t xml:space="preserve"> de agosto de 2025</w:t>
            </w:r>
          </w:p>
        </w:tc>
      </w:tr>
      <w:tr w14:paraId="56F07A3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41141235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3A0B61AE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 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021460CB">
            <w:pPr>
              <w:rPr>
                <w:bCs/>
              </w:rPr>
            </w:pPr>
            <w:r>
              <w:rPr>
                <w:bCs/>
              </w:rPr>
              <w:t>Organismo:</w:t>
            </w:r>
          </w:p>
          <w:p w14:paraId="62D20A76">
            <w:pPr>
              <w:rPr>
                <w:bCs/>
              </w:rPr>
            </w:pPr>
            <w:r>
              <w:rPr>
                <w:bCs/>
              </w:rPr>
              <w:t>Ministerio de Producción, Comercio Exterior, Inversiones y Pesca - MPCEIP;</w:t>
            </w:r>
          </w:p>
          <w:p w14:paraId="2EE82BFC">
            <w:pPr>
              <w:rPr>
                <w:bCs/>
              </w:rPr>
            </w:pPr>
            <w:r>
              <w:rPr>
                <w:bCs/>
              </w:rPr>
              <w:t>Subsecretaría de la Calidad</w:t>
            </w:r>
          </w:p>
          <w:p w14:paraId="1BEC283C">
            <w:pPr>
              <w:rPr>
                <w:bCs/>
              </w:rPr>
            </w:pPr>
            <w:r>
              <w:rPr>
                <w:bCs/>
              </w:rPr>
              <w:t>Persona de contacto principal:</w:t>
            </w:r>
          </w:p>
          <w:p w14:paraId="4DD0366D">
            <w:pPr>
              <w:rPr>
                <w:bCs/>
              </w:rPr>
            </w:pPr>
            <w:r>
              <w:rPr>
                <w:bCs/>
              </w:rPr>
              <w:t>Cristian Eduardo Yépez Jaramillo</w:t>
            </w:r>
          </w:p>
          <w:p w14:paraId="47C4C904">
            <w:pPr>
              <w:rPr>
                <w:bCs/>
              </w:rPr>
            </w:pPr>
            <w:r>
              <w:rPr>
                <w:bCs/>
              </w:rPr>
              <w:t>Plataforma Gubernamental de Gestión Financiera</w:t>
            </w:r>
          </w:p>
          <w:p w14:paraId="63607AFD">
            <w:pPr>
              <w:rPr>
                <w:bCs/>
              </w:rPr>
            </w:pPr>
            <w:r>
              <w:rPr>
                <w:bCs/>
              </w:rPr>
              <w:t>Av. Amazonas entre Unión Nacional de Periodistas y Alfonso Pereira</w:t>
            </w:r>
          </w:p>
          <w:p w14:paraId="075B2244">
            <w:pPr>
              <w:rPr>
                <w:bCs/>
              </w:rPr>
            </w:pPr>
            <w:r>
              <w:rPr>
                <w:bCs/>
              </w:rPr>
              <w:t>Piso 8</w:t>
            </w:r>
          </w:p>
          <w:p w14:paraId="4E3E42D3">
            <w:pPr>
              <w:rPr>
                <w:bCs/>
              </w:rPr>
            </w:pPr>
            <w:r>
              <w:rPr>
                <w:bCs/>
              </w:rPr>
              <w:t>Bloque Amarillo</w:t>
            </w:r>
          </w:p>
          <w:p w14:paraId="4596745D">
            <w:pPr>
              <w:rPr>
                <w:bCs/>
              </w:rPr>
            </w:pPr>
            <w:r>
              <w:rPr>
                <w:bCs/>
              </w:rPr>
              <w:t>Quito EC170522</w:t>
            </w:r>
          </w:p>
          <w:p w14:paraId="37FAFA37">
            <w:pPr>
              <w:rPr>
                <w:bCs/>
              </w:rPr>
            </w:pPr>
            <w:r>
              <w:rPr>
                <w:bCs/>
              </w:rPr>
              <w:t>Tel: +(593 2) 3948760; Ext. 2254; Ext. 2252</w:t>
            </w:r>
          </w:p>
          <w:p w14:paraId="325DCF12">
            <w:pPr>
              <w:rPr>
                <w:bCs/>
              </w:rPr>
            </w:pPr>
            <w:r>
              <w:rPr>
                <w:bCs/>
              </w:rPr>
              <w:t>Correo electrónico:</w:t>
            </w:r>
          </w:p>
          <w:p w14:paraId="53DDBD21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"mailto:puntocontacto-otcecu@produccion.gob.ec"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puntocontacto-otcecu@produccion.gob.ec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>;</w:t>
            </w:r>
          </w:p>
          <w:p w14:paraId="7CAD81C9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"mailto:puntocontactoecu@gmail.com"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puntocontactoecu@gmail.com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>;</w:t>
            </w:r>
          </w:p>
          <w:p w14:paraId="27590451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"mailto:cyepez@produccion.gob.ec"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cyepez@produccion.gob.ec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1D075A7D">
            <w:pPr>
              <w:rPr>
                <w:bCs/>
              </w:rPr>
            </w:pPr>
            <w:r>
              <w:rPr>
                <w:bCs/>
              </w:rPr>
              <w:t>Sitio web:</w:t>
            </w:r>
          </w:p>
          <w:p w14:paraId="3E2736B1">
            <w:pPr>
              <w:rPr>
                <w:bCs/>
              </w:rPr>
            </w:pPr>
            <w:r>
              <w:fldChar w:fldCharType="begin"/>
            </w:r>
            <w:r>
              <w:instrText xml:space="preserve"> HYPERLINK "https://www.produccion.gob.ec/"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https://www.produccion.gob.ec/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0169F082">
            <w:pPr>
              <w:rPr>
                <w:bCs/>
              </w:rPr>
            </w:pPr>
            <w:r>
              <w:fldChar w:fldCharType="begin"/>
            </w:r>
            <w:r>
              <w:instrText xml:space="preserve"> HYPERLINK "https://www.normalizacion.gob.ec/"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https://www.normalizacion.gob.ec/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17298064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"https://members.wto.org/crnattachments/2025/TBT/ECU/25_04175_00_s.pdf"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https://members.wto.org/crnattachments/2025/TBT/ECU/25_04175_00_s.pdf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628C7208">
      <w:pPr>
        <w:rPr>
          <w:lang w:val="en-GB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47C3D8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7C5EFA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B08D7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ACFED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G/TBT/N/ECU/550</w:t>
    </w:r>
    <w:bookmarkEnd w:id="9"/>
  </w:p>
  <w:p w14:paraId="42BA228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79CC52F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t xml:space="preserve"> -</w:t>
    </w:r>
  </w:p>
  <w:p w14:paraId="2E979C1B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15A0CF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DC6E303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1FFE4A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50F47A9E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272A5A0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08B3AF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E2217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7FDB99E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1ECC6DD3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239E02BC">
          <w:pPr>
            <w:jc w:val="right"/>
            <w:rPr>
              <w:b/>
              <w:szCs w:val="18"/>
            </w:rPr>
          </w:pPr>
        </w:p>
      </w:tc>
    </w:tr>
    <w:tr w14:paraId="72648CD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6ACD258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F0E4B1E">
          <w:pPr>
            <w:jc w:val="right"/>
            <w:rPr>
              <w:rFonts w:hint="eastAsia" w:eastAsia="宋体"/>
              <w:b/>
              <w:szCs w:val="18"/>
              <w:lang w:eastAsia="zh-CN"/>
            </w:rPr>
          </w:pPr>
          <w:bookmarkStart w:id="1" w:name="bmkSymbols"/>
          <w:r>
            <w:rPr>
              <w:b/>
              <w:szCs w:val="18"/>
            </w:rPr>
            <w:t>G/TBT/N/ECU/55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2</w:t>
          </w:r>
        </w:p>
      </w:tc>
    </w:tr>
    <w:tr w14:paraId="37404CC3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67D3216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F73F32">
          <w:pPr>
            <w:jc w:val="right"/>
            <w:rPr>
              <w:szCs w:val="18"/>
            </w:rPr>
          </w:pPr>
          <w:bookmarkStart w:id="2" w:name="bmkDate"/>
          <w:bookmarkStart w:id="3" w:name="spsDateDistribution"/>
          <w:r>
            <w:rPr>
              <w:szCs w:val="18"/>
            </w:rPr>
            <w:t>2</w:t>
          </w:r>
          <w:r>
            <w:rPr>
              <w:rFonts w:hint="eastAsia" w:eastAsia="宋体"/>
              <w:szCs w:val="18"/>
              <w:lang w:val="en-US" w:eastAsia="zh-CN"/>
            </w:rPr>
            <w:t>7</w:t>
          </w:r>
          <w:r>
            <w:rPr>
              <w:szCs w:val="18"/>
            </w:rPr>
            <w:t xml:space="preserve"> de junio de 2025</w:t>
          </w:r>
          <w:bookmarkEnd w:id="2"/>
          <w:bookmarkEnd w:id="3"/>
        </w:p>
      </w:tc>
    </w:tr>
    <w:tr w14:paraId="54006AAD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8CDA863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4180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4C1A5BF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3</w:t>
          </w:r>
          <w:r>
            <w:rPr>
              <w:szCs w:val="18"/>
            </w:rPr>
            <w:fldChar w:fldCharType="end"/>
          </w:r>
          <w:bookmarkEnd w:id="5"/>
        </w:p>
      </w:tc>
    </w:tr>
    <w:tr w14:paraId="26C47FF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0943F8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18141C3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5B6D6A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7">
    <w:nsid w:val="63D526BC"/>
    <w:multiLevelType w:val="multilevel"/>
    <w:tmpl w:val="63D526BC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4571F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0E08E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1156F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0FC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0A4C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F73"/>
    <w:rsid w:val="00A5462B"/>
    <w:rsid w:val="00A60556"/>
    <w:rsid w:val="00A627A8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7769"/>
    <w:rsid w:val="00ED3396"/>
    <w:rsid w:val="00EE50B7"/>
    <w:rsid w:val="00EF045A"/>
    <w:rsid w:val="00EF756F"/>
    <w:rsid w:val="00F009AC"/>
    <w:rsid w:val="00F11625"/>
    <w:rsid w:val="00F325A3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021839E8"/>
    <w:rsid w:val="218B1207"/>
    <w:rsid w:val="6424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uiPriority="99" w:name="index 2"/>
    <w:lsdException w:qFormat="1" w:uiPriority="99" w:name="index 3"/>
    <w:lsdException w:uiPriority="99" w:name="index 4"/>
    <w:lsdException w:uiPriority="99" w:name="index 5"/>
    <w:lsdException w:qFormat="1" w:uiPriority="99" w:name="index 6"/>
    <w:lsdException w:uiPriority="99" w:name="index 7"/>
    <w:lsdException w:qFormat="1" w:uiPriority="99" w:name="index 8"/>
    <w:lsdException w:qFormat="1" w:uiPriority="99" w:name="index 9"/>
    <w:lsdException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unhideWhenUsed="0" w:uiPriority="39" w:semiHidden="0" w:name="table of figures"/>
    <w:lsdException w:qFormat="1" w:uiPriority="99" w:name="envelope address"/>
    <w:lsdException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uiPriority="49" w:name="List Number 5"/>
    <w:lsdException w:qFormat="1" w:unhideWhenUsed="0" w:uiPriority="5" w:semiHidden="0" w:name="Title"/>
    <w:lsdException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uiPriority="99" w:name="Body Text Indent 2"/>
    <w:lsdException w:qFormat="1" w:uiPriority="99" w:name="Body Text Indent 3"/>
    <w:lsdException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qFormat="1" w:uiPriority="99" w:name="Table Simple 3"/>
    <w:lsdException w:uiPriority="99" w:name="Table Classic 1"/>
    <w:lsdException w:uiPriority="99" w:name="Table Classic 2"/>
    <w:lsdException w:uiPriority="99" w:name="Table Classic 3"/>
    <w:lsdException w:qFormat="1" w:uiPriority="99" w:name="Table Classic 4"/>
    <w:lsdException w:uiPriority="99" w:name="Table Colorful 1"/>
    <w:lsdException w:qFormat="1" w:uiPriority="99" w:name="Table Colorful 2"/>
    <w:lsdException w:uiPriority="99" w:name="Table Colorful 3"/>
    <w:lsdException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uiPriority="99" w:name="Table Columns 5"/>
    <w:lsdException w:qFormat="1" w:uiPriority="99" w:name="Table Grid 1"/>
    <w:lsdException w:uiPriority="99" w:name="Table Grid 2"/>
    <w:lsdException w:qFormat="1" w:uiPriority="99" w:name="Table Grid 3"/>
    <w:lsdException w:qFormat="1" w:uiPriority="99" w:name="Table Grid 4"/>
    <w:lsdException w:uiPriority="99" w:name="Table Grid 5"/>
    <w:lsdException w:uiPriority="99" w:name="Table Grid 6"/>
    <w:lsdException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uiPriority="99" w:name="Table 3D effects 1"/>
    <w:lsdException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qFormat="1" w:unhideWhenUsed="0" w:uiPriority="65" w:semiHidden="0" w:name="Medium List 1 Accent 5"/>
    <w:lsdException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  <w:style w:type="character" w:customStyle="1" w:styleId="320">
    <w:name w:val="Unresolved Mention"/>
    <w:basedOn w:val="231"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OMC - WTO</Company>
  <Pages>3</Pages>
  <Words>776</Words>
  <Characters>4739</Characters>
  <Lines>38</Lines>
  <Paragraphs>10</Paragraphs>
  <TotalTime>0</TotalTime>
  <ScaleCrop>false</ScaleCrop>
  <LinksUpToDate>false</LinksUpToDate>
  <CharactersWithSpaces>5439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2025-04-14T10:57:00Z</dcterms:created>
  <dc:creator>Carandang, Edward</dc:creator>
  <dc:description>LDIMD - DTU</dc:description>
  <cp:lastModifiedBy> 譞譞</cp:lastModifiedBy>
  <dcterms:modified xsi:type="dcterms:W3CDTF">2025-06-27T14:41:23Z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NC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2052-12.1.0.21541</vt:lpwstr>
  </property>
  <property fmtid="{D5CDD505-2E9C-101B-9397-08002B2CF9AE}" pid="7" name="ICV">
    <vt:lpwstr>989711DB24104888AAF5BEC73772E29F_12</vt:lpwstr>
  </property>
</Properties>
</file>