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59E41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27351355">
      <w:pPr>
        <w:jc w:val="center"/>
      </w:pPr>
      <w:r>
        <w:t>Se da traslado de la notificación siguiente de conformidad con el artículo 10.6.</w:t>
      </w:r>
    </w:p>
    <w:p w14:paraId="3A337720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67A8F17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636DD8E5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0826B3F8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ECUADOR</w:t>
            </w:r>
          </w:p>
          <w:p w14:paraId="4FD2DE5A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489681B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7437895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275C19F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4238ACA1">
            <w:r>
              <w:t>Servicio Ecuatoriano de Normalización - INEN</w:t>
            </w:r>
          </w:p>
          <w:p w14:paraId="13437CA0">
            <w:r>
              <w:t>Calle Baquerizo Moreno E8-29 y Diego de Almagro</w:t>
            </w:r>
          </w:p>
          <w:p w14:paraId="1F10BB54">
            <w:r>
              <w:t>Teléfono: (+593-2) 3825960 al 90</w:t>
            </w:r>
          </w:p>
          <w:p w14:paraId="5FEF37A4">
            <w:r>
              <w:t>Página WEB:</w:t>
            </w:r>
          </w:p>
          <w:p w14:paraId="6F8A50D0">
            <w:pPr>
              <w:spacing w:after="120"/>
              <w:rPr>
                <w:color w:val="0000FF"/>
                <w:u w:val="single"/>
              </w:rPr>
            </w:pPr>
            <w:r>
              <w:fldChar w:fldCharType="begin"/>
            </w:r>
            <w:r>
              <w:instrText xml:space="preserve"> HYPERLINK "https://www.normalizacion.gob.ec/" \t "_blank"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https://www.normalizacion.gob.ec/</w:t>
            </w:r>
            <w:r>
              <w:rPr>
                <w:color w:val="0000FF"/>
                <w:u w:val="single"/>
              </w:rPr>
              <w:fldChar w:fldCharType="end"/>
            </w:r>
          </w:p>
          <w:p w14:paraId="18FD4D9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67F523F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0FACD27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9D2730">
            <w:pPr>
              <w:spacing w:before="120" w:after="120"/>
            </w:pPr>
            <w:r>
              <w:rPr>
                <w:b/>
              </w:rPr>
              <w:t>Notificación hecha en virtud del artículo 2.9.2 [X], 2.10.1 [ ], 5.6.2 [ ], 5.7.1 [ ], 3.2 [ ], 7.2 [ ], o en virtud de:</w:t>
            </w:r>
            <w:r>
              <w:t xml:space="preserve"> </w:t>
            </w:r>
          </w:p>
        </w:tc>
      </w:tr>
      <w:tr w14:paraId="5C275183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272B305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54AA84C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Bañeras, duchas, fregaderos "piletas de lavar" y lavabos, de plástico (Código(s) del SA: 392210); Artículos de higiene o tocador, y sus partes, de fundición (exc. bidones latas o botes, cajas y recipientes simil. de la partida 7310, pequeños armarios de farmacia o de tocador para colgar y demás muebles del capítulo 94, fregaderos "piletas para lavar" y lavabos completos de acero inoxidable, bañeras completas, artículos de grifería y artículos de higiene) (Código(s) del SA: 732490); Aparatos sanitarios y sus partes, de cobre (exc. bidones, cajas y recipientes similares de la partida 7419, y accesorios) (Código(s) del SA: 741820); Artículos de grifería y órganos reguladores simil. para tuberías (exc. válvulas reductoras de presión, válvulas para transmisiones oleohidráulicas o neumáticas, válvulas de retención y válvulas de alivio o seguridad) (Código(s) del SA: 848180). </w:t>
            </w:r>
          </w:p>
        </w:tc>
      </w:tr>
      <w:tr w14:paraId="05FADFA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6EE9A0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9059391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PROYECTO DE REGLAMENTO TÉCNICO ECUATORIANO PRTE INEN 142 (1R) "LLAVES O VÁLVULAS DE USO DOMICILIARIO"; (12 página(s), en español)</w:t>
            </w:r>
          </w:p>
        </w:tc>
      </w:tr>
      <w:tr w14:paraId="5790194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46278BD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4B712FC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La presente Resolución aplica a las siguientes llaves o válvulas de uso domiciliario sean estas nacionales o importadas que se comercialicen en el Ecuador:</w:t>
            </w:r>
          </w:p>
          <w:p w14:paraId="6E6010D4">
            <w:pPr>
              <w:numPr>
                <w:ilvl w:val="0"/>
                <w:numId w:val="7"/>
              </w:numPr>
              <w:spacing w:before="120" w:after="120"/>
            </w:pPr>
            <w:r>
              <w:t>Válvulas de compensación automática para sistemas individuales de ducha instalados en la pared,</w:t>
            </w:r>
          </w:p>
          <w:p w14:paraId="76729990">
            <w:pPr>
              <w:numPr>
                <w:ilvl w:val="0"/>
                <w:numId w:val="7"/>
              </w:numPr>
              <w:spacing w:before="120" w:after="120"/>
            </w:pPr>
            <w:r>
              <w:t>Llaves de ducha tina y ducha,</w:t>
            </w:r>
          </w:p>
          <w:p w14:paraId="257A0F97">
            <w:pPr>
              <w:numPr>
                <w:ilvl w:val="0"/>
                <w:numId w:val="7"/>
              </w:numPr>
              <w:spacing w:before="120" w:after="120"/>
            </w:pPr>
            <w:r>
              <w:t>Llaves de bidé,</w:t>
            </w:r>
          </w:p>
          <w:p w14:paraId="56B4EB72">
            <w:pPr>
              <w:numPr>
                <w:ilvl w:val="0"/>
                <w:numId w:val="7"/>
              </w:numPr>
              <w:spacing w:before="120" w:after="120"/>
            </w:pPr>
            <w:r>
              <w:t>Llaves para lavadora de ropa,</w:t>
            </w:r>
          </w:p>
          <w:p w14:paraId="75B95B36">
            <w:pPr>
              <w:numPr>
                <w:ilvl w:val="0"/>
                <w:numId w:val="7"/>
              </w:numPr>
              <w:spacing w:before="120" w:after="120"/>
            </w:pPr>
            <w:r>
              <w:t>Llaves para fuentes de agua para beber,</w:t>
            </w:r>
          </w:p>
          <w:p w14:paraId="62ED2EE9">
            <w:pPr>
              <w:numPr>
                <w:ilvl w:val="0"/>
                <w:numId w:val="7"/>
              </w:numPr>
              <w:spacing w:before="120" w:after="120"/>
            </w:pPr>
            <w:r>
              <w:t>Llaves de paso para humidificadores,</w:t>
            </w:r>
          </w:p>
          <w:p w14:paraId="402D8A12">
            <w:pPr>
              <w:numPr>
                <w:ilvl w:val="0"/>
                <w:numId w:val="7"/>
              </w:numPr>
              <w:spacing w:before="120" w:after="120"/>
            </w:pPr>
            <w:r>
              <w:t>Llaves para lavamanos y lavaplatos,</w:t>
            </w:r>
          </w:p>
          <w:p w14:paraId="2E169DD2">
            <w:pPr>
              <w:numPr>
                <w:ilvl w:val="0"/>
                <w:numId w:val="7"/>
              </w:numPr>
              <w:spacing w:before="120" w:after="120"/>
            </w:pPr>
            <w:r>
              <w:t>Llaves para lavandería,</w:t>
            </w:r>
          </w:p>
          <w:p w14:paraId="34B14D7E">
            <w:pPr>
              <w:numPr>
                <w:ilvl w:val="0"/>
                <w:numId w:val="7"/>
              </w:numPr>
              <w:spacing w:before="120" w:after="120"/>
            </w:pPr>
            <w:r>
              <w:t>Llaves de jardín,</w:t>
            </w:r>
          </w:p>
          <w:p w14:paraId="10F6AA33">
            <w:pPr>
              <w:numPr>
                <w:ilvl w:val="0"/>
                <w:numId w:val="7"/>
              </w:numPr>
              <w:spacing w:before="120" w:after="120"/>
            </w:pPr>
            <w:r>
              <w:t>Llaves de medición y de cierre automático,</w:t>
            </w:r>
          </w:p>
          <w:p w14:paraId="61EC2EAE">
            <w:pPr>
              <w:numPr>
                <w:ilvl w:val="0"/>
                <w:numId w:val="7"/>
              </w:numPr>
              <w:spacing w:before="120" w:after="120"/>
            </w:pPr>
            <w:r>
              <w:t>Cabezas de ducha, duchas de mano y rociadores corporales,</w:t>
            </w:r>
          </w:p>
          <w:p w14:paraId="3CC7C657">
            <w:pPr>
              <w:numPr>
                <w:ilvl w:val="0"/>
                <w:numId w:val="7"/>
              </w:numPr>
              <w:spacing w:before="120" w:after="120"/>
            </w:pPr>
            <w:r>
              <w:t>Llaves de paso de hasta 2,54 mm (1 Pulgada).</w:t>
            </w:r>
          </w:p>
          <w:p w14:paraId="5710DE7B">
            <w:pPr>
              <w:spacing w:before="120" w:after="120"/>
            </w:pPr>
            <w:r>
              <w:t>La presente Resolución no aplica a:</w:t>
            </w:r>
          </w:p>
          <w:p w14:paraId="3D33FD95">
            <w:pPr>
              <w:numPr>
                <w:ilvl w:val="0"/>
                <w:numId w:val="8"/>
              </w:numPr>
              <w:spacing w:before="120" w:after="120"/>
            </w:pPr>
            <w:r>
              <w:t>Accesorios de desagüe para artefactos sanitarios, incluso sifones y desagües cubiertos por NTE INEN 2901.</w:t>
            </w:r>
          </w:p>
          <w:p w14:paraId="0E94225C">
            <w:pPr>
              <w:numPr>
                <w:ilvl w:val="0"/>
                <w:numId w:val="8"/>
              </w:numPr>
              <w:spacing w:before="120" w:after="120"/>
            </w:pPr>
            <w:r>
              <w:t>Conectores flexibles para agua bajo presión continua, que están cubiertos por ASME A112.18.6/CSA B125.6.</w:t>
            </w:r>
          </w:p>
          <w:p w14:paraId="63F6E61B">
            <w:pPr>
              <w:numPr>
                <w:ilvl w:val="0"/>
                <w:numId w:val="8"/>
              </w:numPr>
              <w:spacing w:before="120" w:after="120"/>
            </w:pPr>
            <w:r>
              <w:t>Válvulas o llaves de control automático de temperatura y compensación de presión que están cubiertos por ASSE 1016/ASME A112.1016/CSA B125.16.</w:t>
            </w:r>
          </w:p>
          <w:p w14:paraId="60A36141">
            <w:pPr>
              <w:numPr>
                <w:ilvl w:val="0"/>
                <w:numId w:val="8"/>
              </w:numPr>
              <w:spacing w:before="120" w:after="120"/>
            </w:pPr>
            <w:r>
              <w:t>Fluxómetros.</w:t>
            </w:r>
          </w:p>
        </w:tc>
      </w:tr>
      <w:tr w14:paraId="6CF1EC9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E276D92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9A368A2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Prevención de prácticas que puedan inducir a error y protección del consumidor; Protección de la salud o seguridad humanas; Protección del medio ambiente</w:t>
            </w:r>
          </w:p>
        </w:tc>
      </w:tr>
      <w:tr w14:paraId="262B826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80E1940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FEB6F4F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733A3407">
            <w:pPr>
              <w:numPr>
                <w:ilvl w:val="0"/>
                <w:numId w:val="9"/>
              </w:numPr>
              <w:spacing w:before="120" w:after="120"/>
            </w:pPr>
            <w:r>
              <w:t>Norma ISO 2859-1:1999+Amd 1:2011, Procedimientos de muestreo para inspección por atributos. Parte 1. Programas de muestreo clasificados por el nivel aceptable de calidad (AQL) para inspección lote a lote.</w:t>
            </w:r>
          </w:p>
          <w:p w14:paraId="1AEAF77E">
            <w:pPr>
              <w:numPr>
                <w:ilvl w:val="0"/>
                <w:numId w:val="9"/>
              </w:numPr>
              <w:spacing w:before="120" w:after="120"/>
            </w:pPr>
            <w:r>
              <w:t>Norma ISO/IEC 17067:2013, Evaluación de la conformidad. Fundamentos de certificación de productos y directrices aplicables a los esquemas de certificación de producto.</w:t>
            </w:r>
          </w:p>
          <w:p w14:paraId="4325557F">
            <w:pPr>
              <w:numPr>
                <w:ilvl w:val="0"/>
                <w:numId w:val="9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>Norma ASME A112.18.1/CSA B125.1-2024:2024, Plumbing Supply Fittings.</w:t>
            </w:r>
          </w:p>
          <w:p w14:paraId="0A4DAFDF">
            <w:pPr>
              <w:numPr>
                <w:ilvl w:val="0"/>
                <w:numId w:val="9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>Norma ASME A112.18.6/CSA B125.6:2017 (R2021), Flexible Water Connectors.</w:t>
            </w:r>
          </w:p>
          <w:p w14:paraId="6160C378">
            <w:pPr>
              <w:numPr>
                <w:ilvl w:val="0"/>
                <w:numId w:val="9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>Norma ASME ASSE 1016/ASME A112.1016/CSA B125.16:2017 (R2021), Performance Requirements for Automatic Compensating Valves for Individual Showers.</w:t>
            </w:r>
          </w:p>
          <w:p w14:paraId="5837BB0B">
            <w:pPr>
              <w:numPr>
                <w:ilvl w:val="0"/>
                <w:numId w:val="9"/>
              </w:numPr>
              <w:spacing w:before="120" w:after="120"/>
            </w:pPr>
            <w:r>
              <w:t>Norma NTE INEN 2901:2018 Accesorios de desagüe para artefactos sanitarios. Requisitos y Métodos de Ensayo.</w:t>
            </w:r>
          </w:p>
          <w:p w14:paraId="6D0F76C6">
            <w:pPr>
              <w:numPr>
                <w:ilvl w:val="0"/>
                <w:numId w:val="9"/>
              </w:numPr>
              <w:spacing w:before="120" w:after="120"/>
            </w:pPr>
            <w:r>
              <w:t>Norma NTE INEN 3123:2019 (1R), Grifería Llaves. Definiciones, Requisitos y Métodos de Ensayo.</w:t>
            </w:r>
          </w:p>
          <w:p w14:paraId="054C8BB6">
            <w:pPr>
              <w:spacing w:before="120" w:after="120"/>
            </w:pPr>
            <w:r>
              <w:t>Este documento reemplaza a las siguientes notificaciones conexas:</w:t>
            </w:r>
          </w:p>
          <w:p w14:paraId="460CCB46">
            <w:pPr>
              <w:numPr>
                <w:ilvl w:val="0"/>
                <w:numId w:val="10"/>
              </w:numPr>
              <w:spacing w:before="120" w:after="120"/>
            </w:pPr>
            <w:r>
              <w:fldChar w:fldCharType="begin"/>
            </w:r>
            <w:r>
              <w:instrText xml:space="preserve"> HYPERLINK "https://eping.wto.org/es/Search/Index?viewData=G/TBT/N/ECU/180"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G/TBT/N/ECU/180</w:t>
            </w:r>
            <w:r>
              <w:rPr>
                <w:color w:val="0000FF"/>
                <w:u w:val="single"/>
              </w:rPr>
              <w:fldChar w:fldCharType="end"/>
            </w:r>
          </w:p>
          <w:p w14:paraId="73DF1285">
            <w:pPr>
              <w:numPr>
                <w:ilvl w:val="0"/>
                <w:numId w:val="10"/>
              </w:numPr>
              <w:spacing w:before="120"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"https://eping.wto.org/es/Search/Index?viewData=G/TBT/N/ECU/180/Add.1" </w:instrText>
            </w:r>
            <w:r>
              <w:fldChar w:fldCharType="separate"/>
            </w:r>
            <w:r>
              <w:rPr>
                <w:color w:val="0000FF"/>
                <w:u w:val="single"/>
                <w:lang w:val="en-GB"/>
              </w:rPr>
              <w:t>G/TBT/N/ECU/180/Add.1</w:t>
            </w:r>
            <w:r>
              <w:rPr>
                <w:color w:val="0000FF"/>
                <w:u w:val="single"/>
                <w:lang w:val="en-GB"/>
              </w:rPr>
              <w:fldChar w:fldCharType="end"/>
            </w:r>
          </w:p>
          <w:p w14:paraId="4FD66D34">
            <w:pPr>
              <w:numPr>
                <w:ilvl w:val="0"/>
                <w:numId w:val="10"/>
              </w:numPr>
              <w:spacing w:before="120"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"https://eping.wto.org/es/Search/Index?viewData=G/TBT/N/ECU/180/Add.2" </w:instrText>
            </w:r>
            <w:r>
              <w:fldChar w:fldCharType="separate"/>
            </w:r>
            <w:r>
              <w:rPr>
                <w:color w:val="0000FF"/>
                <w:u w:val="single"/>
                <w:lang w:val="en-GB"/>
              </w:rPr>
              <w:t>G/TBT/N/ECU/180/Add.2</w:t>
            </w:r>
            <w:r>
              <w:rPr>
                <w:color w:val="0000FF"/>
                <w:u w:val="single"/>
                <w:lang w:val="en-GB"/>
              </w:rPr>
              <w:fldChar w:fldCharType="end"/>
            </w:r>
          </w:p>
          <w:p w14:paraId="70284B84">
            <w:pPr>
              <w:numPr>
                <w:ilvl w:val="0"/>
                <w:numId w:val="10"/>
              </w:numPr>
              <w:spacing w:before="120"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"https://eping.wto.org/es/Search/Index?viewData=G/TBT/N/ECU/180/Add.3" </w:instrText>
            </w:r>
            <w:r>
              <w:fldChar w:fldCharType="separate"/>
            </w:r>
            <w:r>
              <w:rPr>
                <w:color w:val="0000FF"/>
                <w:u w:val="single"/>
                <w:lang w:val="en-GB"/>
              </w:rPr>
              <w:t>G/TBT/N/ECU/180/Add.3</w:t>
            </w:r>
            <w:r>
              <w:rPr>
                <w:color w:val="0000FF"/>
                <w:u w:val="single"/>
                <w:lang w:val="en-GB"/>
              </w:rPr>
              <w:fldChar w:fldCharType="end"/>
            </w:r>
          </w:p>
          <w:p w14:paraId="54E5E8CF">
            <w:pPr>
              <w:numPr>
                <w:ilvl w:val="0"/>
                <w:numId w:val="10"/>
              </w:numPr>
              <w:spacing w:before="120" w:after="120"/>
            </w:pPr>
            <w:r>
              <w:fldChar w:fldCharType="begin"/>
            </w:r>
            <w:r>
              <w:instrText xml:space="preserve"> HYPERLINK "https://eping.wto.org/es/Search/Index?viewData=G/TBT/N/ECU/416"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G/TBT/N/ECU/416</w:t>
            </w:r>
            <w:r>
              <w:rPr>
                <w:color w:val="0000FF"/>
                <w:u w:val="single"/>
              </w:rPr>
              <w:fldChar w:fldCharType="end"/>
            </w:r>
          </w:p>
          <w:p w14:paraId="13212FBC">
            <w:pPr>
              <w:numPr>
                <w:ilvl w:val="0"/>
                <w:numId w:val="10"/>
              </w:numPr>
              <w:spacing w:before="120"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"https://eping.wto.org/es/Search/Index?viewData=G/TBT/N/ECU/416/Rev.1" </w:instrText>
            </w:r>
            <w:r>
              <w:fldChar w:fldCharType="separate"/>
            </w:r>
            <w:r>
              <w:rPr>
                <w:color w:val="0000FF"/>
                <w:u w:val="single"/>
                <w:lang w:val="en-GB"/>
              </w:rPr>
              <w:t>G/TBT/N/ECU/416/Rev.1</w:t>
            </w:r>
            <w:r>
              <w:rPr>
                <w:color w:val="0000FF"/>
                <w:u w:val="single"/>
                <w:lang w:val="en-GB"/>
              </w:rPr>
              <w:fldChar w:fldCharType="end"/>
            </w:r>
          </w:p>
          <w:p w14:paraId="75BC353F">
            <w:pPr>
              <w:numPr>
                <w:numId w:val="0"/>
              </w:numPr>
              <w:spacing w:before="120" w:after="120"/>
              <w:ind w:left="360" w:leftChars="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"https://eping.wto.org/es/Search/Index?viewData=G/TBT/N/ECU/416/Rev.1/Add.1" </w:instrText>
            </w:r>
            <w:r>
              <w:fldChar w:fldCharType="separate"/>
            </w:r>
            <w:r>
              <w:rPr>
                <w:color w:val="0000FF"/>
                <w:u w:val="single"/>
                <w:lang w:val="en-GB"/>
              </w:rPr>
              <w:t>G/TBT/N/ECU/416/Rev.1/Add.1</w:t>
            </w:r>
            <w:r>
              <w:rPr>
                <w:color w:val="0000FF"/>
                <w:u w:val="single"/>
                <w:lang w:val="en-GB"/>
              </w:rPr>
              <w:fldChar w:fldCharType="end"/>
            </w:r>
          </w:p>
        </w:tc>
      </w:tr>
      <w:tr w14:paraId="5B49575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3797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5BC8FD2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0DE668A6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6 meses después de su adopción</w:t>
            </w:r>
          </w:p>
        </w:tc>
      </w:tr>
      <w:tr w14:paraId="3191CA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7A940F6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32DDD5C">
            <w:pPr>
              <w:spacing w:before="120" w:after="120"/>
            </w:pPr>
            <w:r>
              <w:rPr>
                <w:b/>
              </w:rPr>
              <w:t>Fecha límite para la presentación de observaciones:</w:t>
            </w:r>
            <w:r>
              <w:t xml:space="preserve"> 24 de agosto de 2025</w:t>
            </w:r>
            <w:bookmarkStart w:id="10" w:name="_GoBack"/>
            <w:bookmarkEnd w:id="10"/>
          </w:p>
        </w:tc>
      </w:tr>
      <w:tr w14:paraId="56F07A30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41141235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3A0B61AE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 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2AF0169B">
            <w:pPr>
              <w:rPr>
                <w:bCs/>
              </w:rPr>
            </w:pPr>
            <w:r>
              <w:rPr>
                <w:bCs/>
              </w:rPr>
              <w:t>Organismo:</w:t>
            </w:r>
          </w:p>
          <w:p w14:paraId="579FF8D2">
            <w:pPr>
              <w:rPr>
                <w:bCs/>
              </w:rPr>
            </w:pPr>
            <w:r>
              <w:rPr>
                <w:bCs/>
              </w:rPr>
              <w:t>Ministerio de Producción, Comercio Exterior, Inversiones y Pesca (MPCEIP);</w:t>
            </w:r>
          </w:p>
          <w:p w14:paraId="2F197931">
            <w:pPr>
              <w:rPr>
                <w:bCs/>
              </w:rPr>
            </w:pPr>
            <w:r>
              <w:rPr>
                <w:bCs/>
              </w:rPr>
              <w:t>Subsecretaría de la Calidad</w:t>
            </w:r>
          </w:p>
          <w:p w14:paraId="7F4B0BA9">
            <w:pPr>
              <w:rPr>
                <w:bCs/>
              </w:rPr>
            </w:pPr>
            <w:r>
              <w:rPr>
                <w:bCs/>
              </w:rPr>
              <w:t>Persona de contacto principal:</w:t>
            </w:r>
          </w:p>
          <w:p w14:paraId="7D0B61CE">
            <w:pPr>
              <w:rPr>
                <w:bCs/>
              </w:rPr>
            </w:pPr>
            <w:r>
              <w:rPr>
                <w:bCs/>
              </w:rPr>
              <w:t>Cristian Eduardo Yépez Jaramillo</w:t>
            </w:r>
          </w:p>
          <w:p w14:paraId="38B40F27">
            <w:pPr>
              <w:rPr>
                <w:bCs/>
              </w:rPr>
            </w:pPr>
            <w:r>
              <w:rPr>
                <w:bCs/>
              </w:rPr>
              <w:t>Plataforma Gubernamental de Gestión Financiera</w:t>
            </w:r>
          </w:p>
          <w:p w14:paraId="6EB6139F">
            <w:pPr>
              <w:rPr>
                <w:bCs/>
              </w:rPr>
            </w:pPr>
            <w:r>
              <w:rPr>
                <w:bCs/>
              </w:rPr>
              <w:t>Av. Amazonas entre Unión Nacional de Periodistas y Alfonso Pereira</w:t>
            </w:r>
          </w:p>
          <w:p w14:paraId="5A1BAD67">
            <w:pPr>
              <w:rPr>
                <w:bCs/>
              </w:rPr>
            </w:pPr>
            <w:r>
              <w:rPr>
                <w:bCs/>
              </w:rPr>
              <w:t>Piso 8</w:t>
            </w:r>
          </w:p>
          <w:p w14:paraId="72D81EF5">
            <w:pPr>
              <w:rPr>
                <w:bCs/>
              </w:rPr>
            </w:pPr>
            <w:r>
              <w:rPr>
                <w:bCs/>
              </w:rPr>
              <w:t>Bloque Amarillo</w:t>
            </w:r>
          </w:p>
          <w:p w14:paraId="68289556">
            <w:pPr>
              <w:rPr>
                <w:bCs/>
              </w:rPr>
            </w:pPr>
            <w:r>
              <w:rPr>
                <w:bCs/>
              </w:rPr>
              <w:t>Quito EC170522</w:t>
            </w:r>
          </w:p>
          <w:p w14:paraId="77F5F9A7">
            <w:pPr>
              <w:rPr>
                <w:bCs/>
              </w:rPr>
            </w:pPr>
            <w:r>
              <w:rPr>
                <w:bCs/>
              </w:rPr>
              <w:t>Tel: +(593 2) 3948760; Ext. 2254; Ext. 2252</w:t>
            </w:r>
          </w:p>
          <w:p w14:paraId="32776DB6">
            <w:pPr>
              <w:rPr>
                <w:bCs/>
              </w:rPr>
            </w:pPr>
            <w:r>
              <w:rPr>
                <w:bCs/>
              </w:rPr>
              <w:t>Correo electrónico:</w:t>
            </w:r>
          </w:p>
          <w:p w14:paraId="2AB8A447">
            <w:pPr>
              <w:rPr>
                <w:bCs/>
              </w:rPr>
            </w:pPr>
            <w:r>
              <w:fldChar w:fldCharType="begin"/>
            </w:r>
            <w:r>
              <w:instrText xml:space="preserve"> HYPERLINK "mailto:puntocontacto-otcecu@produccion.gob.ec"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puntocontacto-otcecu@produccion.gob.ec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>;</w:t>
            </w:r>
          </w:p>
          <w:p w14:paraId="08830460">
            <w:pPr>
              <w:rPr>
                <w:bCs/>
              </w:rPr>
            </w:pPr>
            <w:r>
              <w:fldChar w:fldCharType="begin"/>
            </w:r>
            <w:r>
              <w:instrText xml:space="preserve"> HYPERLINK "mailto:puntocontactoecu@gmail.com"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puntocontactoecu@gmail.com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>;</w:t>
            </w:r>
          </w:p>
          <w:p w14:paraId="254B7C6B">
            <w:pPr>
              <w:rPr>
                <w:bCs/>
              </w:rPr>
            </w:pPr>
            <w:r>
              <w:fldChar w:fldCharType="begin"/>
            </w:r>
            <w:r>
              <w:instrText xml:space="preserve"> HYPERLINK "mailto:cyepez@produccion.gob.ec"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cyepez@produccion.gob.ec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0A706D05">
            <w:pPr>
              <w:rPr>
                <w:bCs/>
              </w:rPr>
            </w:pPr>
          </w:p>
          <w:p w14:paraId="5BF0C86C">
            <w:pPr>
              <w:rPr>
                <w:bCs/>
              </w:rPr>
            </w:pPr>
            <w:r>
              <w:rPr>
                <w:bCs/>
              </w:rPr>
              <w:t>Sitio web:</w:t>
            </w:r>
          </w:p>
          <w:p w14:paraId="3F45AFE0">
            <w:pPr>
              <w:rPr>
                <w:bCs/>
              </w:rPr>
            </w:pPr>
            <w:r>
              <w:fldChar w:fldCharType="begin"/>
            </w:r>
            <w:r>
              <w:instrText xml:space="preserve"> HYPERLINK "https://www.produccion.gob.ec/"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https://www.produccion.gob.ec/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6F78F9A4">
            <w:pPr>
              <w:rPr>
                <w:bCs/>
              </w:rPr>
            </w:pPr>
            <w:r>
              <w:fldChar w:fldCharType="begin"/>
            </w:r>
            <w:r>
              <w:instrText xml:space="preserve"> HYPERLINK "https://www.normalizacion.gob.ec/"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https://www.normalizacion.gob.ec/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047B7699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"https://members.wto.org/crnattachments/2025/TBT/ECU/25_04168_00_s.pdf"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https://members.wto.org/crnattachments/2025/TBT/ECU/25_04168_00_s.pdf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628C7208">
      <w:pPr>
        <w:rPr>
          <w:lang w:val="en-GB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47C3D8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7C5EFA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B08D7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ACFED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0" w:name="spsSymbolHeader"/>
    <w:r>
      <w:t>G/TBT/N/ECU/550</w:t>
    </w:r>
    <w:bookmarkEnd w:id="0"/>
  </w:p>
  <w:p w14:paraId="42BA228D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79CC52F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t xml:space="preserve"> -</w:t>
    </w:r>
  </w:p>
  <w:p w14:paraId="2E979C1B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15A0CF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DC6E303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1FFE4AD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50F47A9E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272A5A06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08B3AF">
          <w:pPr>
            <w:rPr>
              <w:szCs w:val="18"/>
              <w:lang w:eastAsia="en-GB"/>
            </w:rPr>
          </w:pPr>
          <w:bookmarkStart w:id="1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E22175">
          <w:pPr>
            <w:jc w:val="right"/>
            <w:rPr>
              <w:b/>
              <w:color w:val="FF0000"/>
              <w:szCs w:val="18"/>
            </w:rPr>
          </w:pPr>
        </w:p>
      </w:tc>
    </w:tr>
    <w:bookmarkEnd w:id="1"/>
    <w:tr w14:paraId="7FDB99E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1ECC6DD3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239E02BC">
          <w:pPr>
            <w:jc w:val="right"/>
            <w:rPr>
              <w:b/>
              <w:szCs w:val="18"/>
            </w:rPr>
          </w:pPr>
        </w:p>
      </w:tc>
    </w:tr>
    <w:tr w14:paraId="72648CD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6ACD258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F0E4B1E">
          <w:pPr>
            <w:jc w:val="right"/>
            <w:rPr>
              <w:rFonts w:hint="eastAsia" w:eastAsia="宋体"/>
              <w:b/>
              <w:szCs w:val="18"/>
              <w:lang w:eastAsia="zh-CN"/>
            </w:rPr>
          </w:pPr>
          <w:bookmarkStart w:id="2" w:name="bmkSymbols"/>
          <w:r>
            <w:rPr>
              <w:b/>
              <w:szCs w:val="18"/>
            </w:rPr>
            <w:t>G/TBT/N/ECU/55</w:t>
          </w:r>
          <w:bookmarkEnd w:id="2"/>
          <w:r>
            <w:rPr>
              <w:rFonts w:hint="eastAsia" w:eastAsia="宋体"/>
              <w:b/>
              <w:szCs w:val="18"/>
              <w:lang w:val="en-US" w:eastAsia="zh-CN"/>
            </w:rPr>
            <w:t>1</w:t>
          </w:r>
        </w:p>
      </w:tc>
    </w:tr>
    <w:tr w14:paraId="37404CC3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67D3216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F73F32">
          <w:pPr>
            <w:jc w:val="right"/>
            <w:rPr>
              <w:szCs w:val="18"/>
            </w:rPr>
          </w:pPr>
          <w:bookmarkStart w:id="3" w:name="bmkDate"/>
          <w:bookmarkStart w:id="4" w:name="spsDateDistribution"/>
          <w:r>
            <w:rPr>
              <w:szCs w:val="18"/>
            </w:rPr>
            <w:t>25 de junio de 2025</w:t>
          </w:r>
          <w:bookmarkEnd w:id="3"/>
          <w:bookmarkEnd w:id="4"/>
        </w:p>
      </w:tc>
    </w:tr>
    <w:tr w14:paraId="54006AAD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8CDA863">
          <w:pPr>
            <w:jc w:val="left"/>
            <w:rPr>
              <w:b/>
              <w:szCs w:val="18"/>
            </w:rPr>
          </w:pPr>
          <w:bookmarkStart w:id="5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4131</w:t>
          </w:r>
          <w:r>
            <w:rPr>
              <w:b w:val="0"/>
              <w:color w:val="FF0000"/>
            </w:rPr>
            <w:t>)</w:t>
          </w:r>
          <w:bookmarkEnd w:id="5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4C1A5BF">
          <w:pPr>
            <w:jc w:val="right"/>
            <w:rPr>
              <w:szCs w:val="18"/>
            </w:rPr>
          </w:pPr>
          <w:bookmarkStart w:id="6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3</w:t>
          </w:r>
          <w:r>
            <w:rPr>
              <w:szCs w:val="18"/>
            </w:rPr>
            <w:fldChar w:fldCharType="end"/>
          </w:r>
          <w:bookmarkEnd w:id="6"/>
        </w:p>
      </w:tc>
    </w:tr>
    <w:tr w14:paraId="26C47FF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0943F8">
          <w:pPr>
            <w:jc w:val="left"/>
            <w:rPr>
              <w:szCs w:val="18"/>
            </w:rPr>
          </w:pPr>
          <w:bookmarkStart w:id="7" w:name="bmkCommittee"/>
          <w:r>
            <w:rPr>
              <w:b/>
              <w:szCs w:val="18"/>
            </w:rPr>
            <w:t>Comité de Obstáculos Técnicos al Comercio</w:t>
          </w:r>
          <w:bookmarkEnd w:id="7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18141C3">
          <w:pPr>
            <w:jc w:val="right"/>
            <w:rPr>
              <w:bCs/>
              <w:szCs w:val="18"/>
            </w:rPr>
          </w:pPr>
          <w:bookmarkStart w:id="8" w:name="bmkLanguage"/>
          <w:r>
            <w:rPr>
              <w:bCs/>
              <w:szCs w:val="18"/>
            </w:rPr>
            <w:t xml:space="preserve">Original: </w:t>
          </w:r>
          <w:bookmarkStart w:id="9" w:name="spsOriginalLanguage"/>
          <w:r>
            <w:rPr>
              <w:bCs/>
              <w:szCs w:val="18"/>
            </w:rPr>
            <w:t>español</w:t>
          </w:r>
          <w:bookmarkEnd w:id="8"/>
          <w:bookmarkEnd w:id="9"/>
        </w:p>
      </w:tc>
    </w:tr>
  </w:tbl>
  <w:p w14:paraId="5B6D6A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7">
    <w:nsid w:val="63D526BC"/>
    <w:multiLevelType w:val="multilevel"/>
    <w:tmpl w:val="63D526BC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8">
    <w:nsid w:val="63D526BD"/>
    <w:multiLevelType w:val="multilevel"/>
    <w:tmpl w:val="63D526BD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9">
    <w:nsid w:val="63D526BE"/>
    <w:multiLevelType w:val="multilevel"/>
    <w:tmpl w:val="63D526BE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4571F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0E08E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1156F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0FC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0A4C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F73"/>
    <w:rsid w:val="00A5462B"/>
    <w:rsid w:val="00A60556"/>
    <w:rsid w:val="00A627A8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7769"/>
    <w:rsid w:val="00ED3396"/>
    <w:rsid w:val="00EE50B7"/>
    <w:rsid w:val="00EF045A"/>
    <w:rsid w:val="00EF756F"/>
    <w:rsid w:val="00F009AC"/>
    <w:rsid w:val="00F11625"/>
    <w:rsid w:val="00F325A3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218B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unhideWhenUsed="0" w:uiPriority="2" w:semiHidden="0" w:name="heading 7"/>
    <w:lsdException w:unhideWhenUsed="0" w:uiPriority="2" w:semiHidden="0" w:name="heading 8"/>
    <w:lsdException w:unhideWhenUsed="0" w:uiPriority="2" w:semiHidden="0" w:name="heading 9"/>
    <w:lsdException w:uiPriority="99" w:name="index 1"/>
    <w:lsdException w:uiPriority="99" w:name="index 2"/>
    <w:lsdException w:qFormat="1"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qFormat="1" w:uiPriority="99" w:name="index 8"/>
    <w:lsdException w:qFormat="1" w:uiPriority="99" w:name="index 9"/>
    <w:lsdException w:unhideWhenUsed="0" w:uiPriority="39" w:semiHidden="0" w:name="toc 1"/>
    <w:lsdException w:qFormat="1" w:unhideWhenUsed="0" w:uiPriority="39" w:semiHidden="0" w:name="toc 2"/>
    <w:lsdException w:unhideWhenUsed="0" w:uiPriority="39" w:semiHidden="0" w:name="toc 3"/>
    <w:lsdException w:qFormat="1" w:unhideWhenUsed="0" w:uiPriority="39" w:semiHidden="0" w:name="toc 4"/>
    <w:lsdException w:unhideWhenUsed="0" w:uiPriority="39" w:semiHidden="0" w:name="toc 5"/>
    <w:lsdException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unhideWhenUsed="0" w:uiPriority="39" w:semiHidden="0" w:name="table of figures"/>
    <w:lsdException w:uiPriority="99" w:name="envelope address"/>
    <w:lsdException w:uiPriority="99" w:name="envelope return"/>
    <w:lsdException w:unhideWhenUsed="0" w:uiPriority="5" w:semiHidden="0" w:name="footnote reference"/>
    <w:lsdException w:uiPriority="99" w:name="annotation reference"/>
    <w:lsdException w:qFormat="1" w:uiPriority="99" w:name="line number"/>
    <w:lsdException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unhideWhenUsed="0" w:uiPriority="39" w:semiHidden="0" w:name="table of authorities"/>
    <w:lsdException w:qFormat="1" w:uiPriority="99" w:name="macro"/>
    <w:lsdException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uiPriority="49" w:name="List Number 5"/>
    <w:lsdException w:qFormat="1" w:unhideWhenUsed="0" w:uiPriority="5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uiPriority="99" w:name="Body Text First Indent"/>
    <w:lsdException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uiPriority="99" w:name="Body Text Indent 2"/>
    <w:lsdException w:uiPriority="99" w:name="Body Text Indent 3"/>
    <w:lsdException w:uiPriority="99" w:name="Block Text"/>
    <w:lsdException w:uiPriority="9" w:semiHidden="0" w:name="Hyperlink"/>
    <w:lsdException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qFormat="1"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semiHidden="0" w:name="annotation subject"/>
    <w:lsdException w:uiPriority="99" w:name="Table Simple 1"/>
    <w:lsdException w:uiPriority="99" w:name="Table Simple 2"/>
    <w:lsdException w:qFormat="1"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qFormat="1" w:uiPriority="99" w:name="Table Columns 3"/>
    <w:lsdException w:qFormat="1" w:uiPriority="99" w:name="Table Columns 4"/>
    <w:lsdException w:uiPriority="99" w:name="Table Columns 5"/>
    <w:lsdException w:qFormat="1" w:uiPriority="99" w:name="Table Grid 1"/>
    <w:lsdException w:uiPriority="99" w:name="Table Grid 2"/>
    <w:lsdException w:uiPriority="99" w:name="Table Grid 3"/>
    <w:lsdException w:qFormat="1" w:uiPriority="99" w:name="Table Grid 4"/>
    <w:lsdException w:uiPriority="99" w:name="Table Grid 5"/>
    <w:lsdException w:uiPriority="99" w:name="Table Grid 6"/>
    <w:lsdException w:uiPriority="99" w:name="Table Grid 7"/>
    <w:lsdException w:qFormat="1" w:uiPriority="99" w:name="Table Grid 8"/>
    <w:lsdException w:qFormat="1" w:uiPriority="99" w:name="Table List 1"/>
    <w:lsdException w:uiPriority="99" w:name="Table List 2"/>
    <w:lsdException w:qFormat="1" w:uiPriority="99" w:name="Table List 3"/>
    <w:lsdException w:uiPriority="99" w:name="Table List 4"/>
    <w:lsdException w:uiPriority="99" w:name="Table List 5"/>
    <w:lsdException w:uiPriority="99" w:name="Table List 6"/>
    <w:lsdException w:qFormat="1" w:uiPriority="99" w:name="Table List 7"/>
    <w:lsdException w:qFormat="1"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qFormat="1" w:uiPriority="99" w:name="Table Elegant"/>
    <w:lsdException w:uiPriority="99" w:name="Table Professional"/>
    <w:lsdException w:qFormat="1" w:uiPriority="99" w:name="Table Subtle 1"/>
    <w:lsdException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unhideWhenUsed="0" w:uiPriority="59" w:semiHidden="0" w:name="Table Grid"/>
    <w:lsdException w:qFormat="1" w:uiPriority="99" w:name="Table Theme"/>
    <w:lsdException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qFormat="1"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uiPriority w:val="99"/>
    <w:rPr>
      <w:i/>
      <w:iCs/>
    </w:rPr>
  </w:style>
  <w:style w:type="paragraph" w:styleId="42">
    <w:name w:val="index 4"/>
    <w:basedOn w:val="1"/>
    <w:next w:val="1"/>
    <w:semiHidden/>
    <w:unhideWhenUsed/>
    <w:uiPriority w:val="99"/>
    <w:pPr>
      <w:ind w:left="720" w:hanging="180"/>
    </w:pPr>
  </w:style>
  <w:style w:type="paragraph" w:styleId="43">
    <w:name w:val="toc 5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uiPriority w:val="99"/>
    <w:pPr>
      <w:ind w:left="4252"/>
    </w:pPr>
  </w:style>
  <w:style w:type="paragraph" w:styleId="60">
    <w:name w:val="toc 1"/>
    <w:basedOn w:val="1"/>
    <w:next w:val="1"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uiPriority w:val="99"/>
    <w:pPr>
      <w:spacing w:after="0"/>
      <w:ind w:left="360" w:firstLine="360"/>
    </w:pPr>
  </w:style>
  <w:style w:type="table" w:styleId="89">
    <w:name w:val="Table Grid"/>
    <w:basedOn w:val="88"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uiPriority w:val="99"/>
    <w:rPr>
      <w:lang w:val="es-ES"/>
    </w:rPr>
  </w:style>
  <w:style w:type="character" w:styleId="235">
    <w:name w:val="FollowedHyperlink"/>
    <w:unhideWhenUsed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uiPriority w:val="99"/>
    <w:rPr>
      <w:i/>
      <w:iCs/>
      <w:lang w:val="es-ES"/>
    </w:rPr>
  </w:style>
  <w:style w:type="character" w:styleId="239">
    <w:name w:val="HTML Typewriter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uiPriority w:val="99"/>
    <w:rPr>
      <w:lang w:val="es-ES"/>
    </w:rPr>
  </w:style>
  <w:style w:type="character" w:styleId="241">
    <w:name w:val="HTML Variable"/>
    <w:semiHidden/>
    <w:unhideWhenUsed/>
    <w:uiPriority w:val="99"/>
    <w:rPr>
      <w:i/>
      <w:iCs/>
      <w:lang w:val="es-ES"/>
    </w:rPr>
  </w:style>
  <w:style w:type="character" w:styleId="242">
    <w:name w:val="Hyperlink"/>
    <w:unhideWhenUsed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uiPriority w:val="99"/>
    <w:rPr>
      <w:i/>
      <w:iCs/>
      <w:lang w:val="es-ES"/>
    </w:rPr>
  </w:style>
  <w:style w:type="character" w:styleId="246">
    <w:name w:val="footnote reference"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uiPriority w:val="49"/>
  </w:style>
  <w:style w:type="character" w:customStyle="1" w:styleId="289">
    <w:name w:val="Body Text First Indent Char"/>
    <w:link w:val="86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uiPriority w:val="99"/>
    <w:rPr>
      <w:color w:val="808080"/>
      <w:lang w:val="es-ES"/>
    </w:rPr>
  </w:style>
  <w:style w:type="character" w:customStyle="1" w:styleId="312">
    <w:name w:val="Plain Text Char"/>
    <w:link w:val="45"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  <w:style w:type="character" w:customStyle="1" w:styleId="320">
    <w:name w:val="Unresolved Mention"/>
    <w:basedOn w:val="231"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OMC - WTO</Company>
  <Pages>3</Pages>
  <Words>646</Words>
  <Characters>3942</Characters>
  <Lines>38</Lines>
  <Paragraphs>10</Paragraphs>
  <TotalTime>0</TotalTime>
  <ScaleCrop>false</ScaleCrop>
  <LinksUpToDate>false</LinksUpToDate>
  <CharactersWithSpaces>4524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2025-04-14T10:57:00Z</dcterms:created>
  <dc:creator>Carandang, Edward</dc:creator>
  <dc:description>LDIMD - DTU</dc:description>
  <cp:lastModifiedBy> 譞譞</cp:lastModifiedBy>
  <dcterms:modified xsi:type="dcterms:W3CDTF">2025-06-25T15:05:39Z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NC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2052-12.1.0.21541</vt:lpwstr>
  </property>
  <property fmtid="{D5CDD505-2E9C-101B-9397-08002B2CF9AE}" pid="7" name="ICV">
    <vt:lpwstr>989711DB24104888AAF5BEC73772E29F_12</vt:lpwstr>
  </property>
</Properties>
</file>