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082B355F" w14:textId="77777777">
      <w:pPr>
        <w:pStyle w:val="Title"/>
      </w:pPr>
      <w:r w:rsidRPr="002F663C">
        <w:t>NOTIFICATION</w:t>
      </w:r>
    </w:p>
    <w:p w:rsidR="002F663C" w:rsidRPr="002F663C" w:rsidP="00DD3DD7" w14:paraId="7CAB3ABA" w14:textId="77777777">
      <w:pPr>
        <w:pStyle w:val="Title3"/>
      </w:pPr>
      <w:r w:rsidRPr="002F663C">
        <w:t>Addendum</w:t>
      </w:r>
    </w:p>
    <w:p w:rsidR="002F663C" w:rsidP="001E2E4A" w14:paraId="4FF8DAC5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19 June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Indonesia</w:t>
      </w:r>
      <w:r w:rsidRPr="002F663C">
        <w:rPr>
          <w:rFonts w:eastAsia="Calibri" w:cs="Times New Roman"/>
        </w:rPr>
        <w:t>.</w:t>
      </w:r>
    </w:p>
    <w:p w:rsidR="001E2E4A" w:rsidRPr="002F663C" w:rsidP="001E2E4A" w14:paraId="18ED924F" w14:textId="77777777">
      <w:pPr>
        <w:rPr>
          <w:rFonts w:eastAsia="Calibri" w:cs="Times New Roman"/>
        </w:rPr>
      </w:pPr>
    </w:p>
    <w:p w:rsidR="002F663C" w:rsidRPr="002F663C" w:rsidP="002F663C" w14:paraId="6D1292E6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7C9A7637" w14:textId="77777777">
      <w:pPr>
        <w:rPr>
          <w:rFonts w:eastAsia="Calibri" w:cs="Times New Roman"/>
        </w:rPr>
      </w:pPr>
    </w:p>
    <w:p w:rsidR="00C14444" w:rsidRPr="002F663C" w:rsidP="002F663C" w14:paraId="4CB61524" w14:textId="77777777">
      <w:pPr>
        <w:rPr>
          <w:rFonts w:eastAsia="Calibri" w:cs="Times New Roman"/>
        </w:rPr>
      </w:pPr>
    </w:p>
    <w:p w:rsidR="002F663C" w:rsidRPr="002F663C" w:rsidP="002F663C" w14:paraId="0055D4FB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Draft Decree of Minister of Industry on Mandatory Implementation of Indonesian </w:t>
      </w:r>
      <w:r w:rsidRPr="00022513">
        <w:rPr>
          <w:rFonts w:eastAsia="Calibri" w:cs="Times New Roman"/>
          <w:bCs/>
          <w:szCs w:val="18"/>
        </w:rPr>
        <w:t>National Standard for Instant Coffee (SNI 2983:2014) (10 pages, in English)</w:t>
      </w:r>
    </w:p>
    <w:p w:rsidR="002F663C" w:rsidRPr="002F663C" w:rsidP="002F663C" w14:paraId="77D85EEC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FF5840D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42BE775A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DEEB6C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8D79DB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72CA821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0EA372D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9E6D02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16CB41A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17 January 2025</w:t>
            </w:r>
          </w:p>
        </w:tc>
      </w:tr>
      <w:tr w14:paraId="4986F6F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F78CE7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48964FF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24 January 2025</w:t>
            </w:r>
          </w:p>
        </w:tc>
      </w:tr>
      <w:tr w14:paraId="039663A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9BE71E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7A254A0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24 July 2025</w:t>
            </w:r>
          </w:p>
        </w:tc>
      </w:tr>
      <w:tr w14:paraId="4518CD3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B791D6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30692925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4D5C4389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https://jdih.kemenperin.go.id/dokumen/view?id=1617</w:t>
              </w:r>
            </w:hyperlink>
          </w:p>
          <w:p w:rsidR="002F663C" w:rsidRPr="002F663C" w:rsidP="00EB7B40" w14:paraId="6797C977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https://members.wto.org/crnattachments/2025/TBT/IDN/final_measure/25_04020_00_x.pdf</w:t>
              </w:r>
            </w:hyperlink>
          </w:p>
        </w:tc>
      </w:tr>
      <w:tr w14:paraId="684D3B6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386BCC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4304344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13561416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CB5AFC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5EBB23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6E2171E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141B7720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368F22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1249AF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5459C86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0F19BF7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3C1D9B0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56D045F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69D34026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6850DEAC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Regulation of Minister of Industry No 03/M-IND/PER/01/2016 has been revoked and replaced by Regulation of Minister of Industry No. 4 of 2025 regarding Mandatory Implementation of Indonesia National Standard for Instant Coffee. </w:t>
      </w:r>
    </w:p>
    <w:p w:rsidR="00B87ADC" w:rsidRPr="002F663C" w:rsidP="00B16ACF" w14:paraId="017B69C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The Regulation covers the issuance of SNI certificate using type 5 and type 1b certification scheme, production process assessment and implementation of ISO 9001:2015 or ISO 22000:2018 , including product quality testing based on SNI 2983:2024 with product HS Code :</w:t>
      </w:r>
    </w:p>
    <w:p w:rsidR="00B87ADC" w:rsidRPr="002F663C" w:rsidP="00B16ACF" w14:paraId="769552A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a. 2101.11.11; and</w:t>
      </w:r>
    </w:p>
    <w:p w:rsidR="00B87ADC" w:rsidRPr="002F663C" w:rsidP="00B16ACF" w14:paraId="5990B15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b. 2101.11.19.</w:t>
      </w:r>
    </w:p>
    <w:p w:rsidR="00B87ADC" w:rsidRPr="002F663C" w:rsidP="00B16ACF" w14:paraId="1EEFAEA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Domestic or imported instant coffee products produced before this regulation may still be distributed for a maximum of 18 (eighteen) months from the enforcement date.</w:t>
      </w:r>
    </w:p>
    <w:p w:rsidR="006C5A96" w:rsidP="006C5A96" w14:paraId="6C0CB713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ED855C1" w14:textId="77777777">
      <w:pPr>
        <w:jc w:val="center"/>
        <w:rPr>
          <w:b/>
        </w:rPr>
      </w:pPr>
    </w:p>
    <w:p w:rsidR="00A1565D" w:rsidP="003971FF" w14:paraId="0C5E9EB7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EE5A026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62061F7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5F32467A" w14:textId="77777777">
      <w:r>
        <w:separator/>
      </w:r>
    </w:p>
  </w:footnote>
  <w:footnote w:type="continuationSeparator" w:id="1">
    <w:p w:rsidR="004D3A6A" w:rsidP="00ED54E0" w14:paraId="2E2A3D50" w14:textId="77777777">
      <w:r>
        <w:continuationSeparator/>
      </w:r>
    </w:p>
  </w:footnote>
  <w:footnote w:id="2">
    <w:p w:rsidR="007F6EA2" w14:paraId="289B2FC0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7CBF223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4B915FB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311DC8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F44FF5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7DB46E2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G/TBT/N/IDN/86/Add.4</w:t>
    </w:r>
    <w:bookmarkEnd w:id="3"/>
  </w:p>
  <w:p w:rsidR="00DD3DD7" w:rsidRPr="00DD3DD7" w:rsidP="00DD3DD7" w14:paraId="0DF3E6F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0F0DFD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3C8C90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6AF2CC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8E3670A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6F4C17A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63B69D98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39569940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A4211ED" w14:textId="77777777">
          <w:pPr>
            <w:jc w:val="right"/>
            <w:rPr>
              <w:b/>
              <w:szCs w:val="16"/>
            </w:rPr>
          </w:pPr>
        </w:p>
      </w:tc>
    </w:tr>
    <w:tr w14:paraId="42B98742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FC8AAA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0047D217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G/TBT/N/IDN/86/Add.4</w:t>
          </w:r>
          <w:bookmarkEnd w:id="4"/>
        </w:p>
        <w:p w:rsidR="00C14444" w:rsidRPr="00C14444" w:rsidP="00C14444" w14:paraId="5E5374ED" w14:textId="77777777">
          <w:pPr>
            <w:jc w:val="center"/>
            <w:rPr>
              <w:szCs w:val="16"/>
            </w:rPr>
          </w:pPr>
        </w:p>
      </w:tc>
    </w:tr>
    <w:tr w14:paraId="0919EEB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286CB1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82907B7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19 June 2025</w:t>
          </w:r>
          <w:bookmarkEnd w:id="5"/>
        </w:p>
      </w:tc>
    </w:tr>
    <w:tr w14:paraId="1AA731B0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2E6D5C4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(25-4039)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CA39566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18CB55C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B29F94B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44D693F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BA770F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69129495">
    <w:abstractNumId w:val="9"/>
  </w:num>
  <w:num w:numId="2" w16cid:durableId="234633162">
    <w:abstractNumId w:val="7"/>
  </w:num>
  <w:num w:numId="3" w16cid:durableId="464196518">
    <w:abstractNumId w:val="6"/>
  </w:num>
  <w:num w:numId="4" w16cid:durableId="2092122204">
    <w:abstractNumId w:val="5"/>
  </w:num>
  <w:num w:numId="5" w16cid:durableId="694160775">
    <w:abstractNumId w:val="4"/>
  </w:num>
  <w:num w:numId="6" w16cid:durableId="2085444696">
    <w:abstractNumId w:val="12"/>
  </w:num>
  <w:num w:numId="7" w16cid:durableId="2128112522">
    <w:abstractNumId w:val="11"/>
  </w:num>
  <w:num w:numId="8" w16cid:durableId="750203884">
    <w:abstractNumId w:val="10"/>
  </w:num>
  <w:num w:numId="9" w16cid:durableId="5709587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25474445">
    <w:abstractNumId w:val="13"/>
  </w:num>
  <w:num w:numId="11" w16cid:durableId="322315803">
    <w:abstractNumId w:val="8"/>
  </w:num>
  <w:num w:numId="12" w16cid:durableId="533427820">
    <w:abstractNumId w:val="3"/>
  </w:num>
  <w:num w:numId="13" w16cid:durableId="469321228">
    <w:abstractNumId w:val="2"/>
  </w:num>
  <w:num w:numId="14" w16cid:durableId="1347099100">
    <w:abstractNumId w:val="1"/>
  </w:num>
  <w:num w:numId="15" w16cid:durableId="1257981546">
    <w:abstractNumId w:val="0"/>
  </w:num>
  <w:num w:numId="16" w16cid:durableId="682587297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10A82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87ADC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2DDF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0027B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jdih.kemenperin.go.id/dokumen/view?id=1617" TargetMode="External" /><Relationship Id="rId7" Type="http://schemas.openxmlformats.org/officeDocument/2006/relationships/hyperlink" Target="https://members.wto.org/crnattachments/2025/TBT/IDN/final_measure/25_04020_00_x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2025-06-19T14:03:00Z</dcterms:created>
  <dcterms:modified xsi:type="dcterms:W3CDTF">2025-06-19T14:03:00Z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