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2C326C5D" w14:textId="77777777">
      <w:pPr>
        <w:pStyle w:val="Title"/>
      </w:pPr>
      <w:r w:rsidRPr="002F663C">
        <w:t>NOTIFICATION</w:t>
      </w:r>
    </w:p>
    <w:p w:rsidR="002F663C" w:rsidRPr="002F663C" w:rsidP="00DD3DD7" w14:paraId="2573EDE0" w14:textId="77777777">
      <w:pPr>
        <w:pStyle w:val="Title3"/>
      </w:pPr>
      <w:r w:rsidRPr="002F663C">
        <w:t>Addendum</w:t>
      </w:r>
    </w:p>
    <w:p w:rsidR="002F663C" w:rsidP="001E2E4A" w14:paraId="6B79742D"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12 June 2025,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2D6ADF54" w14:textId="77777777">
      <w:pPr>
        <w:rPr>
          <w:rFonts w:eastAsia="Calibri" w:cs="Times New Roman"/>
        </w:rPr>
      </w:pPr>
    </w:p>
    <w:p w:rsidR="002F663C" w:rsidRPr="002F663C" w:rsidP="002F663C" w14:paraId="78067274" w14:textId="77777777">
      <w:pPr>
        <w:jc w:val="center"/>
        <w:rPr>
          <w:rFonts w:eastAsia="Calibri" w:cs="Times New Roman"/>
          <w:b/>
        </w:rPr>
      </w:pPr>
      <w:r w:rsidRPr="002F663C">
        <w:rPr>
          <w:rFonts w:eastAsia="Calibri" w:cs="Times New Roman"/>
          <w:b/>
        </w:rPr>
        <w:t>_______________</w:t>
      </w:r>
    </w:p>
    <w:p w:rsidR="002F663C" w:rsidP="002F663C" w14:paraId="2A61BD49" w14:textId="77777777">
      <w:pPr>
        <w:rPr>
          <w:rFonts w:eastAsia="Calibri" w:cs="Times New Roman"/>
        </w:rPr>
      </w:pPr>
    </w:p>
    <w:p w:rsidR="00C14444" w:rsidRPr="002F663C" w:rsidP="002F663C" w14:paraId="02A757CA" w14:textId="77777777">
      <w:pPr>
        <w:rPr>
          <w:rFonts w:eastAsia="Calibri" w:cs="Times New Roman"/>
        </w:rPr>
      </w:pPr>
    </w:p>
    <w:p w:rsidR="002F663C" w:rsidRPr="002F663C" w:rsidP="002F663C" w14:paraId="68DF91AF"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 xml:space="preserve">Fuel Specifications and Labeling of Natural Gas </w:t>
      </w:r>
    </w:p>
    <w:p w:rsidR="002F663C" w:rsidRPr="002F663C" w:rsidP="002F663C" w14:paraId="63E4D458"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60306150"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5CB328C8"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349FBA89" w14:textId="77777777" w:rsidTr="00E9471B">
        <w:tblPrEx>
          <w:tblW w:w="9049" w:type="dxa"/>
          <w:tblLayout w:type="fixed"/>
          <w:tblLook w:val="04A0"/>
        </w:tblPrEx>
        <w:tc>
          <w:tcPr>
            <w:tcW w:w="851" w:type="dxa"/>
            <w:shd w:val="clear" w:color="auto" w:fill="auto"/>
          </w:tcPr>
          <w:p w:rsidR="002F663C" w:rsidRPr="00711F9C" w:rsidP="00C14444" w14:paraId="3B12200A"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416401A4"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526E5CC7" w14:textId="77777777" w:rsidTr="00E9471B">
        <w:tblPrEx>
          <w:tblW w:w="9049" w:type="dxa"/>
          <w:tblLayout w:type="fixed"/>
          <w:tblLook w:val="04A0"/>
        </w:tblPrEx>
        <w:tc>
          <w:tcPr>
            <w:tcW w:w="851" w:type="dxa"/>
            <w:shd w:val="clear" w:color="auto" w:fill="auto"/>
          </w:tcPr>
          <w:p w:rsidR="002F663C" w:rsidRPr="00711F9C" w:rsidP="00C14444" w14:paraId="6EC3D7F5"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6A40C910"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2798EC3B" w14:textId="77777777" w:rsidTr="00E9471B">
        <w:tblPrEx>
          <w:tblW w:w="9049" w:type="dxa"/>
          <w:tblLayout w:type="fixed"/>
          <w:tblLook w:val="04A0"/>
        </w:tblPrEx>
        <w:tc>
          <w:tcPr>
            <w:tcW w:w="851" w:type="dxa"/>
            <w:shd w:val="clear" w:color="auto" w:fill="auto"/>
          </w:tcPr>
          <w:p w:rsidR="002F663C" w:rsidRPr="00711F9C" w:rsidP="00C14444" w14:paraId="6EEA22B2"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2741EFCA"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62886E7E" w14:textId="77777777" w:rsidTr="00E9471B">
        <w:tblPrEx>
          <w:tblW w:w="9049" w:type="dxa"/>
          <w:tblLayout w:type="fixed"/>
          <w:tblLook w:val="04A0"/>
        </w:tblPrEx>
        <w:tc>
          <w:tcPr>
            <w:tcW w:w="851" w:type="dxa"/>
            <w:shd w:val="clear" w:color="auto" w:fill="auto"/>
          </w:tcPr>
          <w:p w:rsidR="002F663C" w:rsidRPr="00711F9C" w:rsidP="00C14444" w14:paraId="30AB50BA"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3744B960"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 July 2025</w:t>
            </w:r>
          </w:p>
        </w:tc>
      </w:tr>
      <w:tr w14:paraId="61646272" w14:textId="77777777" w:rsidTr="00E9471B">
        <w:tblPrEx>
          <w:tblW w:w="9049" w:type="dxa"/>
          <w:tblLayout w:type="fixed"/>
          <w:tblLook w:val="04A0"/>
        </w:tblPrEx>
        <w:tc>
          <w:tcPr>
            <w:tcW w:w="851" w:type="dxa"/>
            <w:shd w:val="clear" w:color="auto" w:fill="auto"/>
          </w:tcPr>
          <w:p w:rsidR="002F663C" w:rsidRPr="00711F9C" w:rsidP="00C14444" w14:paraId="2703B0B7"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EB7B40" w14:paraId="539F2742"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1BB1F375"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https://members.wto.org/crnattachments/2025/TBT/USA/final_measure/25_03896_00_e.pdf</w:t>
              </w:r>
            </w:hyperlink>
          </w:p>
          <w:p w:rsidR="002F663C" w:rsidRPr="002F663C" w:rsidP="00EB7B40" w14:paraId="14D5993C" w14:textId="77777777">
            <w:pPr>
              <w:spacing w:before="120" w:after="120"/>
              <w:rPr>
                <w:rFonts w:eastAsia="Calibri" w:cs="Times New Roman"/>
              </w:rPr>
            </w:pPr>
            <w:hyperlink r:id="rId8" w:tgtFrame="_blank" w:history="1">
              <w:r w:rsidRPr="002F663C">
                <w:rPr>
                  <w:rFonts w:eastAsia="Calibri" w:cs="Times New Roman"/>
                  <w:color w:val="0000FF"/>
                  <w:u w:val="single"/>
                </w:rPr>
                <w:t>https://members.wto.org/crnattachments/2025/TBT/USA/final_measure/25_03896_01_e.pdf</w:t>
              </w:r>
            </w:hyperlink>
          </w:p>
        </w:tc>
      </w:tr>
      <w:tr w14:paraId="33742A97" w14:textId="77777777" w:rsidTr="00E9471B">
        <w:tblPrEx>
          <w:tblW w:w="9049" w:type="dxa"/>
          <w:tblLayout w:type="fixed"/>
          <w:tblLook w:val="04A0"/>
        </w:tblPrEx>
        <w:tc>
          <w:tcPr>
            <w:tcW w:w="851" w:type="dxa"/>
            <w:shd w:val="clear" w:color="auto" w:fill="auto"/>
          </w:tcPr>
          <w:p w:rsidR="002F663C" w:rsidRPr="00711F9C" w:rsidP="00C14444" w14:paraId="63218C79"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1916EEBA"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1FD11736"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7A2D8A6E" w14:textId="77777777" w:rsidTr="00E9471B">
        <w:tblPrEx>
          <w:tblW w:w="9049" w:type="dxa"/>
          <w:tblLayout w:type="fixed"/>
          <w:tblLook w:val="04A0"/>
        </w:tblPrEx>
        <w:tc>
          <w:tcPr>
            <w:tcW w:w="851" w:type="dxa"/>
            <w:shd w:val="clear" w:color="auto" w:fill="auto"/>
          </w:tcPr>
          <w:p w:rsidR="002F663C" w:rsidRPr="00711F9C" w:rsidP="00C14444" w14:paraId="0A92B0A2"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388EFF28"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60DF863C"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65EAFC80" w14:textId="77777777" w:rsidTr="00E9471B">
        <w:tblPrEx>
          <w:tblW w:w="9049" w:type="dxa"/>
          <w:tblLayout w:type="fixed"/>
          <w:tblLook w:val="04A0"/>
        </w:tblPrEx>
        <w:tc>
          <w:tcPr>
            <w:tcW w:w="851" w:type="dxa"/>
            <w:shd w:val="clear" w:color="auto" w:fill="auto"/>
          </w:tcPr>
          <w:p w:rsidR="002F663C" w:rsidRPr="00711F9C" w:rsidP="00C14444" w14:paraId="4024879C"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54734A01"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3AFA3DCA"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02E5A92C"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shd w:val="clear" w:color="auto" w:fill="auto"/>
          </w:tcPr>
          <w:p w:rsidR="002F663C" w:rsidRPr="002F663C" w:rsidP="00EB7B40" w14:paraId="3F97BB53"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2D2148AC" w14:textId="77777777">
      <w:pPr>
        <w:jc w:val="left"/>
        <w:rPr>
          <w:rFonts w:eastAsia="Calibri" w:cs="Times New Roman"/>
          <w:highlight w:val="yellow"/>
        </w:rPr>
      </w:pPr>
    </w:p>
    <w:p w:rsidR="003971FF" w:rsidRPr="007F6EA2" w:rsidP="00B16ACF" w14:paraId="70EDC39A"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On 22 May 2025, the California Office of Administrative Law (OAL) approved the proposed amendments to the Fuel Specifications and Labeling of Natural Gas regulation in </w:t>
      </w:r>
      <w:hyperlink r:id="rId9" w:history="1">
        <w:r w:rsidRPr="002F663C">
          <w:rPr>
            <w:rFonts w:eastAsia="Calibri" w:cs="Times New Roman"/>
            <w:color w:val="0000FF"/>
            <w:szCs w:val="18"/>
            <w:u w:val="single"/>
          </w:rPr>
          <w:t>California Code of Regulations</w:t>
        </w:r>
      </w:hyperlink>
      <w:r w:rsidRPr="002F663C">
        <w:rPr>
          <w:rFonts w:eastAsia="Calibri" w:cs="Times New Roman"/>
          <w:szCs w:val="18"/>
        </w:rPr>
        <w:t xml:space="preserve"> (CCR) </w:t>
      </w:r>
      <w:hyperlink r:id="rId10" w:history="1">
        <w:r w:rsidRPr="002F663C">
          <w:rPr>
            <w:rFonts w:eastAsia="Calibri" w:cs="Times New Roman"/>
            <w:color w:val="0000FF"/>
            <w:szCs w:val="18"/>
            <w:u w:val="single"/>
          </w:rPr>
          <w:t>Title 4</w:t>
        </w:r>
      </w:hyperlink>
      <w:r w:rsidRPr="002F663C">
        <w:rPr>
          <w:rFonts w:eastAsia="Calibri" w:cs="Times New Roman"/>
          <w:szCs w:val="18"/>
        </w:rPr>
        <w:t xml:space="preserve">, Sections </w:t>
      </w:r>
      <w:hyperlink r:id="rId11" w:history="1">
        <w:r w:rsidRPr="002F663C">
          <w:rPr>
            <w:rFonts w:eastAsia="Calibri" w:cs="Times New Roman"/>
            <w:color w:val="0000FF"/>
            <w:szCs w:val="18"/>
            <w:u w:val="single"/>
          </w:rPr>
          <w:t>4192.1</w:t>
        </w:r>
      </w:hyperlink>
      <w:r w:rsidRPr="002F663C">
        <w:rPr>
          <w:rFonts w:eastAsia="Calibri" w:cs="Times New Roman"/>
          <w:szCs w:val="18"/>
        </w:rPr>
        <w:t xml:space="preserve">, </w:t>
      </w:r>
      <w:hyperlink r:id="rId12" w:history="1">
        <w:r w:rsidRPr="002F663C">
          <w:rPr>
            <w:rFonts w:eastAsia="Calibri" w:cs="Times New Roman"/>
            <w:color w:val="0000FF"/>
            <w:szCs w:val="18"/>
            <w:u w:val="single"/>
          </w:rPr>
          <w:t>4192.2</w:t>
        </w:r>
      </w:hyperlink>
      <w:r w:rsidRPr="002F663C">
        <w:rPr>
          <w:rFonts w:eastAsia="Calibri" w:cs="Times New Roman"/>
          <w:szCs w:val="18"/>
        </w:rPr>
        <w:t xml:space="preserve">, </w:t>
      </w:r>
      <w:hyperlink r:id="rId13" w:history="1">
        <w:r w:rsidRPr="002F663C">
          <w:rPr>
            <w:rFonts w:eastAsia="Calibri" w:cs="Times New Roman"/>
            <w:color w:val="0000FF"/>
            <w:szCs w:val="18"/>
            <w:u w:val="single"/>
          </w:rPr>
          <w:t>4206</w:t>
        </w:r>
      </w:hyperlink>
      <w:r w:rsidRPr="002F663C">
        <w:rPr>
          <w:rFonts w:eastAsia="Calibri" w:cs="Times New Roman"/>
          <w:szCs w:val="18"/>
        </w:rPr>
        <w:t xml:space="preserve"> and </w:t>
      </w:r>
      <w:hyperlink r:id="rId14" w:history="1">
        <w:r w:rsidRPr="002F663C">
          <w:rPr>
            <w:rFonts w:eastAsia="Calibri" w:cs="Times New Roman"/>
            <w:color w:val="0000FF"/>
            <w:szCs w:val="18"/>
            <w:u w:val="single"/>
          </w:rPr>
          <w:t>4207</w:t>
        </w:r>
      </w:hyperlink>
      <w:r w:rsidRPr="002F663C">
        <w:rPr>
          <w:rFonts w:eastAsia="Calibri" w:cs="Times New Roman"/>
          <w:szCs w:val="18"/>
        </w:rPr>
        <w:t>. These changes are effective upon filing on 1 July 2025.</w:t>
      </w:r>
    </w:p>
    <w:p w:rsidR="00620AA8" w:rsidRPr="002F663C" w:rsidP="00B16ACF" w14:paraId="6C75D1F8" w14:textId="77777777">
      <w:pPr>
        <w:spacing w:before="120" w:after="120"/>
        <w:rPr>
          <w:rFonts w:eastAsia="Calibri" w:cs="Times New Roman"/>
          <w:szCs w:val="18"/>
        </w:rPr>
      </w:pPr>
      <w:r w:rsidRPr="002F663C">
        <w:rPr>
          <w:rFonts w:eastAsia="Calibri" w:cs="Times New Roman"/>
          <w:szCs w:val="18"/>
        </w:rPr>
        <w:t>Most recent Notices and documents for this rulemaking:</w:t>
      </w:r>
    </w:p>
    <w:p w:rsidR="00620AA8" w:rsidRPr="002F663C" w:rsidP="00B16ACF" w14:paraId="7F050E00" w14:textId="77777777">
      <w:pPr>
        <w:numPr>
          <w:ilvl w:val="0"/>
          <w:numId w:val="17"/>
        </w:numPr>
        <w:spacing w:before="120" w:after="120"/>
        <w:rPr>
          <w:rFonts w:eastAsia="Calibri" w:cs="Times New Roman"/>
          <w:szCs w:val="18"/>
        </w:rPr>
      </w:pPr>
      <w:hyperlink r:id="rId15" w:history="1">
        <w:r w:rsidRPr="002F663C">
          <w:rPr>
            <w:rFonts w:eastAsia="Calibri" w:cs="Times New Roman"/>
            <w:color w:val="0000FF"/>
            <w:szCs w:val="18"/>
            <w:u w:val="single"/>
          </w:rPr>
          <w:t>Final Regulation Endorsed and Filed with the Secretary of State</w:t>
        </w:r>
      </w:hyperlink>
    </w:p>
    <w:p w:rsidR="00620AA8" w:rsidRPr="002F663C" w:rsidP="00B16ACF" w14:paraId="7FF72064" w14:textId="77777777">
      <w:pPr>
        <w:numPr>
          <w:ilvl w:val="0"/>
          <w:numId w:val="17"/>
        </w:numPr>
        <w:spacing w:before="120" w:after="120"/>
        <w:rPr>
          <w:rFonts w:eastAsia="Calibri" w:cs="Times New Roman"/>
          <w:szCs w:val="18"/>
        </w:rPr>
      </w:pPr>
      <w:hyperlink r:id="rId16" w:history="1">
        <w:r w:rsidRPr="002F663C">
          <w:rPr>
            <w:rFonts w:eastAsia="Calibri" w:cs="Times New Roman"/>
            <w:color w:val="0000FF"/>
            <w:szCs w:val="18"/>
            <w:u w:val="single"/>
          </w:rPr>
          <w:t>Final Statement of Reasons</w:t>
        </w:r>
      </w:hyperlink>
    </w:p>
    <w:p w:rsidR="00620AA8" w:rsidRPr="002F663C" w:rsidP="00B16ACF" w14:paraId="46A2890D" w14:textId="77777777">
      <w:pPr>
        <w:spacing w:before="120" w:after="120"/>
        <w:rPr>
          <w:rFonts w:eastAsia="Calibri" w:cs="Times New Roman"/>
          <w:szCs w:val="18"/>
        </w:rPr>
      </w:pPr>
      <w:r w:rsidRPr="002F663C">
        <w:rPr>
          <w:rFonts w:eastAsia="Calibri" w:cs="Times New Roman"/>
          <w:szCs w:val="18"/>
        </w:rPr>
        <w:t xml:space="preserve">California Notice Register No. 23-Z, 6 June 2025, page 729: </w:t>
      </w:r>
      <w:hyperlink r:id="rId17" w:history="1">
        <w:r w:rsidRPr="002F663C">
          <w:rPr>
            <w:rFonts w:eastAsia="Calibri" w:cs="Times New Roman"/>
            <w:color w:val="0000FF"/>
            <w:szCs w:val="18"/>
            <w:u w:val="single"/>
          </w:rPr>
          <w:t>https://oal.ca.gov/wp-content/uploads/sites/166/2025/06/2025-Notice-Register-No.-23-Z-June-6-2025.pdf</w:t>
        </w:r>
      </w:hyperlink>
    </w:p>
    <w:p w:rsidR="00620AA8" w:rsidRPr="002F663C" w:rsidP="00B16ACF" w14:paraId="647080C7" w14:textId="77777777">
      <w:pPr>
        <w:spacing w:before="120" w:after="120"/>
        <w:rPr>
          <w:rFonts w:eastAsia="Calibri" w:cs="Times New Roman"/>
          <w:szCs w:val="18"/>
        </w:rPr>
      </w:pPr>
      <w:r w:rsidRPr="002F663C">
        <w:rPr>
          <w:rFonts w:eastAsia="Calibri" w:cs="Times New Roman"/>
          <w:szCs w:val="18"/>
        </w:rPr>
        <w:t xml:space="preserve">Visit the California Department of Food and Agriculture (CDFA) Regulations webpage and refer to the section "Recently Approved Regulatory Action" to see earlier documents on the rulemaking, Regulatory Action Number 2025-0417-01SR: </w:t>
      </w:r>
      <w:hyperlink r:id="rId18" w:history="1">
        <w:r w:rsidRPr="002F663C">
          <w:rPr>
            <w:rFonts w:eastAsia="Calibri" w:cs="Times New Roman"/>
            <w:color w:val="0000FF"/>
            <w:szCs w:val="18"/>
            <w:u w:val="single"/>
          </w:rPr>
          <w:t>https://www.cdfa.ca.gov/dms/regulations.html</w:t>
        </w:r>
      </w:hyperlink>
      <w:r w:rsidRPr="002F663C">
        <w:rPr>
          <w:rFonts w:eastAsia="Calibri" w:cs="Times New Roman"/>
          <w:szCs w:val="18"/>
        </w:rPr>
        <w:t>.</w:t>
      </w:r>
    </w:p>
    <w:p w:rsidR="006C5A96" w:rsidP="006C5A96" w14:paraId="4B092FF4" w14:textId="77777777">
      <w:pPr>
        <w:jc w:val="center"/>
        <w:rPr>
          <w:b/>
        </w:rPr>
      </w:pPr>
      <w:r w:rsidRPr="003971FF">
        <w:rPr>
          <w:b/>
        </w:rPr>
        <w:t>__________</w:t>
      </w:r>
    </w:p>
    <w:p w:rsidR="004D4D19" w:rsidP="007F38C2" w14:paraId="3A817F6E" w14:textId="77777777">
      <w:pPr>
        <w:jc w:val="center"/>
        <w:rPr>
          <w:b/>
        </w:rPr>
      </w:pPr>
    </w:p>
    <w:p w:rsidR="00A1565D" w:rsidP="003971FF" w14:paraId="150265FF" w14:textId="77777777">
      <w:pPr>
        <w:jc w:val="center"/>
        <w:rPr>
          <w:b/>
        </w:rPr>
      </w:pPr>
    </w:p>
    <w:sectPr w:rsidSect="006C5A96">
      <w:headerReference w:type="even" r:id="rId19"/>
      <w:headerReference w:type="default" r:id="rId20"/>
      <w:footerReference w:type="even" r:id="rId21"/>
      <w:footerReference w:type="default" r:id="rId22"/>
      <w:headerReference w:type="first" r:id="rId2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1C2B5A4"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733946F8"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1EBE1CB6" w14:textId="77777777">
      <w:r>
        <w:separator/>
      </w:r>
    </w:p>
  </w:footnote>
  <w:footnote w:type="continuationSeparator" w:id="1">
    <w:p w:rsidR="004D3A6A" w:rsidP="00ED54E0" w14:paraId="4D6EBD46" w14:textId="77777777">
      <w:r>
        <w:continuationSeparator/>
      </w:r>
    </w:p>
  </w:footnote>
  <w:footnote w:id="2">
    <w:p w:rsidR="007F6EA2" w14:paraId="268855F7"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6639E224"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55A569A0" w14:textId="77777777">
    <w:pPr>
      <w:pStyle w:val="Header"/>
      <w:pBdr>
        <w:bottom w:val="single" w:sz="4" w:space="1" w:color="auto"/>
      </w:pBdr>
      <w:tabs>
        <w:tab w:val="clear" w:pos="4513"/>
        <w:tab w:val="clear" w:pos="9027"/>
      </w:tabs>
      <w:jc w:val="center"/>
    </w:pPr>
  </w:p>
  <w:p w:rsidR="00DD3DD7" w:rsidRPr="00DD3DD7" w:rsidP="00DD3DD7" w14:paraId="45D20434"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24F81A01"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74140ED6" w14:textId="77777777">
    <w:pPr>
      <w:pStyle w:val="Header"/>
      <w:pBdr>
        <w:bottom w:val="single" w:sz="4" w:space="1" w:color="auto"/>
      </w:pBdr>
      <w:tabs>
        <w:tab w:val="clear" w:pos="4513"/>
        <w:tab w:val="clear" w:pos="9027"/>
      </w:tabs>
      <w:jc w:val="center"/>
    </w:pPr>
    <w:bookmarkStart w:id="3" w:name="spsSymbolHeader"/>
    <w:r w:rsidRPr="00DD3DD7">
      <w:t>G/TBT/N/USA/2119/Add.1</w:t>
    </w:r>
    <w:bookmarkEnd w:id="3"/>
  </w:p>
  <w:p w:rsidR="00DD3DD7" w:rsidRPr="00DD3DD7" w:rsidP="00DD3DD7" w14:paraId="408A22B3" w14:textId="77777777">
    <w:pPr>
      <w:pStyle w:val="Header"/>
      <w:pBdr>
        <w:bottom w:val="single" w:sz="4" w:space="1" w:color="auto"/>
      </w:pBdr>
      <w:tabs>
        <w:tab w:val="clear" w:pos="4513"/>
        <w:tab w:val="clear" w:pos="9027"/>
      </w:tabs>
      <w:jc w:val="center"/>
    </w:pPr>
  </w:p>
  <w:p w:rsidR="00DD3DD7" w:rsidRPr="00DD3DD7" w:rsidP="00DD3DD7" w14:paraId="0E6209B8"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621B7F67"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90322E8"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696CEAC4"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1277624F" w14:textId="77777777">
          <w:pPr>
            <w:jc w:val="right"/>
            <w:rPr>
              <w:b/>
              <w:color w:val="FF0000"/>
              <w:szCs w:val="16"/>
            </w:rPr>
          </w:pPr>
          <w:r>
            <w:rPr>
              <w:b/>
              <w:color w:val="FF0000"/>
              <w:szCs w:val="16"/>
            </w:rPr>
            <w:t xml:space="preserve"> </w:t>
          </w:r>
        </w:p>
      </w:tc>
    </w:tr>
    <w:tr w14:paraId="2C85C509"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585EC638"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46E72511" w14:textId="77777777">
          <w:pPr>
            <w:jc w:val="right"/>
            <w:rPr>
              <w:b/>
              <w:szCs w:val="16"/>
            </w:rPr>
          </w:pPr>
        </w:p>
      </w:tc>
    </w:tr>
    <w:tr w14:paraId="5ED18C67"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22E4A52A"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38A10D42" w14:textId="77777777">
          <w:pPr>
            <w:jc w:val="right"/>
            <w:rPr>
              <w:rFonts w:eastAsia="Calibri" w:cs="Times New Roman"/>
              <w:b/>
              <w:szCs w:val="16"/>
            </w:rPr>
          </w:pPr>
          <w:bookmarkStart w:id="4" w:name="bmkSymbols"/>
          <w:r w:rsidRPr="002F663C">
            <w:rPr>
              <w:rFonts w:eastAsia="Calibri" w:cs="Times New Roman"/>
              <w:b/>
              <w:szCs w:val="16"/>
            </w:rPr>
            <w:t>G/TBT/N/USA/2119/Add.1</w:t>
          </w:r>
          <w:bookmarkEnd w:id="4"/>
        </w:p>
        <w:p w:rsidR="00C14444" w:rsidRPr="00C14444" w:rsidP="00C14444" w14:paraId="15865E04" w14:textId="77777777">
          <w:pPr>
            <w:jc w:val="center"/>
            <w:rPr>
              <w:szCs w:val="16"/>
            </w:rPr>
          </w:pPr>
        </w:p>
      </w:tc>
    </w:tr>
    <w:tr w14:paraId="1592EF31"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28043A2A" w14:textId="77777777"/>
      </w:tc>
      <w:tc>
        <w:tcPr>
          <w:tcW w:w="5448" w:type="dxa"/>
          <w:gridSpan w:val="2"/>
          <w:shd w:val="clear" w:color="auto" w:fill="FFFFFF"/>
          <w:tcMar>
            <w:left w:w="108" w:type="dxa"/>
            <w:right w:w="108" w:type="dxa"/>
          </w:tcMar>
          <w:vAlign w:val="center"/>
        </w:tcPr>
        <w:p w:rsidR="00ED54E0" w:rsidRPr="00182B84" w:rsidP="00425DC5" w14:paraId="45382291" w14:textId="77777777">
          <w:pPr>
            <w:jc w:val="right"/>
            <w:rPr>
              <w:szCs w:val="16"/>
            </w:rPr>
          </w:pPr>
          <w:bookmarkStart w:id="5" w:name="bmkDate"/>
          <w:r w:rsidRPr="00182B84">
            <w:rPr>
              <w:szCs w:val="16"/>
            </w:rPr>
            <w:t>12 June 2025</w:t>
          </w:r>
          <w:bookmarkEnd w:id="5"/>
        </w:p>
      </w:tc>
    </w:tr>
    <w:tr w14:paraId="70DDD600"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40EEEE76" w14:textId="77777777">
          <w:pPr>
            <w:jc w:val="left"/>
            <w:rPr>
              <w:b/>
            </w:rPr>
          </w:pPr>
          <w:bookmarkStart w:id="6" w:name="bmkSerial"/>
          <w:r>
            <w:rPr>
              <w:b w:val="0"/>
              <w:color w:val="FF0000"/>
            </w:rPr>
            <w:t>(25-3880)</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293EFF88"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17465487"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0967B6CA"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6ADC0F5D"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00258EB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021054189">
    <w:abstractNumId w:val="9"/>
  </w:num>
  <w:num w:numId="2" w16cid:durableId="1335572372">
    <w:abstractNumId w:val="7"/>
  </w:num>
  <w:num w:numId="3" w16cid:durableId="1326281487">
    <w:abstractNumId w:val="6"/>
  </w:num>
  <w:num w:numId="4" w16cid:durableId="1315648495">
    <w:abstractNumId w:val="5"/>
  </w:num>
  <w:num w:numId="5" w16cid:durableId="1006901243">
    <w:abstractNumId w:val="4"/>
  </w:num>
  <w:num w:numId="6" w16cid:durableId="1897473727">
    <w:abstractNumId w:val="12"/>
  </w:num>
  <w:num w:numId="7" w16cid:durableId="1384669860">
    <w:abstractNumId w:val="11"/>
  </w:num>
  <w:num w:numId="8" w16cid:durableId="879129803">
    <w:abstractNumId w:val="10"/>
  </w:num>
  <w:num w:numId="9" w16cid:durableId="6620102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75864594">
    <w:abstractNumId w:val="13"/>
  </w:num>
  <w:num w:numId="11" w16cid:durableId="1620726027">
    <w:abstractNumId w:val="8"/>
  </w:num>
  <w:num w:numId="12" w16cid:durableId="1421221597">
    <w:abstractNumId w:val="3"/>
  </w:num>
  <w:num w:numId="13" w16cid:durableId="204218804">
    <w:abstractNumId w:val="2"/>
  </w:num>
  <w:num w:numId="14" w16cid:durableId="55517391">
    <w:abstractNumId w:val="1"/>
  </w:num>
  <w:num w:numId="15" w16cid:durableId="63336451">
    <w:abstractNumId w:val="0"/>
  </w:num>
  <w:num w:numId="16" w16cid:durableId="478420425">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 w:numId="17" w16cid:durableId="15846771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E743E"/>
    <w:rsid w:val="005F30CB"/>
    <w:rsid w:val="00612644"/>
    <w:rsid w:val="00615DE8"/>
    <w:rsid w:val="00620AA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55822"/>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57810"/>
    <w:rsid w:val="00F77BEC"/>
    <w:rsid w:val="00F810EA"/>
    <w:rsid w:val="00FA1663"/>
    <w:rsid w:val="00FA5EBC"/>
    <w:rsid w:val="00FA6F48"/>
    <w:rsid w:val="00FB5D6D"/>
    <w:rsid w:val="00FD224A"/>
    <w:rsid w:val="00FD28F0"/>
    <w:rsid w:val="00FD7993"/>
    <w:rsid w:val="00FE4603"/>
    <w:rsid w:val="00FF04A8"/>
    <w:rsid w:val="00FF4616"/>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14:docId w14:val="68D7E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govt.westlaw.com/calregs/Browse/Home/California/CaliforniaCodeofRegulations?guid=I89B61D20543B11ECAE2D000D3A7C4BC3&amp;originationContext=documenttoc&amp;transitionType=Default&amp;contextData=(sc.Default)&amp;bhcp=1" TargetMode="External" /><Relationship Id="rId11" Type="http://schemas.openxmlformats.org/officeDocument/2006/relationships/hyperlink" Target="https://govt.westlaw.com/calregs/Document/I64EBEF60390C11F09B528D80B92B54C7?viewType=FullText&amp;originationContext=documenttoc&amp;transitionType=CategoryPageItem&amp;contextData=(sc.Default)" TargetMode="External" /><Relationship Id="rId12" Type="http://schemas.openxmlformats.org/officeDocument/2006/relationships/hyperlink" Target="https://govt.westlaw.com/calregs/Document/I64D7CB20390C11F09B528D80B92B54C7?viewType=FullText&amp;originationContext=documenttoc&amp;transitionType=CategoryPageItem&amp;contextData=(sc.Default)" TargetMode="External" /><Relationship Id="rId13" Type="http://schemas.openxmlformats.org/officeDocument/2006/relationships/hyperlink" Target="https://govt.westlaw.com/calregs/Document/I659D3E00390C11F097FF824067A6721D?viewType=FullText&amp;originationContext=documenttoc&amp;transitionType=CategoryPageItem&amp;contextData=(sc.Default)" TargetMode="External" /><Relationship Id="rId14" Type="http://schemas.openxmlformats.org/officeDocument/2006/relationships/hyperlink" Target="https://govt.westlaw.com/calregs/Document/I9B6C1D30390C11F088F387F4EBEBEA60?viewType=FullText&amp;originationContext=documenttoc&amp;transitionType=CategoryPageItem&amp;contextData=(sc.Default)" TargetMode="External" /><Relationship Id="rId15" Type="http://schemas.openxmlformats.org/officeDocument/2006/relationships/hyperlink" Target="https://www.cdfa.ca.gov/dms/docs/regulations/2025-0417-01SR_Final_Reg_Endorsed.pdf" TargetMode="External" /><Relationship Id="rId16" Type="http://schemas.openxmlformats.org/officeDocument/2006/relationships/hyperlink" Target="https://www.cdfa.ca.gov/dms/docs/regulations/2025-0417-01SR_Final_SOR.pdf" TargetMode="External" /><Relationship Id="rId17" Type="http://schemas.openxmlformats.org/officeDocument/2006/relationships/hyperlink" Target="https://oal.ca.gov/wp-content/uploads/sites/166/2025/06/2025-Notice-Register-No.-23-Z-June-6-2025.pdf" TargetMode="External" /><Relationship Id="rId18" Type="http://schemas.openxmlformats.org/officeDocument/2006/relationships/hyperlink" Target="https://www.cdfa.ca.gov/dms/regulations.html" TargetMode="External" /><Relationship Id="rId19" Type="http://schemas.openxmlformats.org/officeDocument/2006/relationships/header" Target="header1.xml" /><Relationship Id="rId2" Type="http://schemas.openxmlformats.org/officeDocument/2006/relationships/settings" Target="settings.xml" /><Relationship Id="rId20" Type="http://schemas.openxmlformats.org/officeDocument/2006/relationships/header" Target="header2.xml" /><Relationship Id="rId21" Type="http://schemas.openxmlformats.org/officeDocument/2006/relationships/footer" Target="footer1.xml" /><Relationship Id="rId22" Type="http://schemas.openxmlformats.org/officeDocument/2006/relationships/footer" Target="footer2.xml" /><Relationship Id="rId23" Type="http://schemas.openxmlformats.org/officeDocument/2006/relationships/header" Target="header3.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5/TBT/USA/final_measure/25_03896_00_e.pdf" TargetMode="External" /><Relationship Id="rId8" Type="http://schemas.openxmlformats.org/officeDocument/2006/relationships/hyperlink" Target="https://members.wto.org/crnattachments/2025/TBT/USA/final_measure/25_03896_01_e.pdf" TargetMode="External" /><Relationship Id="rId9" Type="http://schemas.openxmlformats.org/officeDocument/2006/relationships/hyperlink" Target="https://govt.westlaw.com/calregs/Index?transitionType=Default&amp;contextData=%28sc.Default%29"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lfarra\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2E99F3C4-F57D-4FC7-BB75-28681C5064FE}">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239</Words>
  <Characters>1591</Characters>
  <Application>Microsoft Office Word</Application>
  <DocSecurity>0</DocSecurity>
  <Lines>50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2025-06-12T12:36:00Z</dcterms:created>
  <dcterms:modified xsi:type="dcterms:W3CDTF">2025-06-12T12:46:00Z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