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A2392CD" w14:textId="77777777">
      <w:pPr>
        <w:pStyle w:val="Title"/>
      </w:pPr>
      <w:r w:rsidRPr="002F663C">
        <w:t>NOTIFICATION</w:t>
      </w:r>
    </w:p>
    <w:p w:rsidR="002F663C" w:rsidRPr="002F663C" w:rsidP="00DD3DD7" w14:paraId="51C3B051" w14:textId="77777777">
      <w:pPr>
        <w:pStyle w:val="Title3"/>
      </w:pPr>
      <w:r w:rsidRPr="002F663C">
        <w:t>Addendum</w:t>
      </w:r>
    </w:p>
    <w:p w:rsidR="002F663C" w:rsidP="001E2E4A" w14:paraId="5B4FF83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June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25F1C87F" w14:textId="77777777">
      <w:pPr>
        <w:rPr>
          <w:rFonts w:eastAsia="Calibri" w:cs="Times New Roman"/>
        </w:rPr>
      </w:pPr>
    </w:p>
    <w:p w:rsidR="002F663C" w:rsidRPr="002F663C" w:rsidP="002F663C" w14:paraId="47A56F4D" w14:textId="77777777">
      <w:pPr>
        <w:jc w:val="center"/>
        <w:rPr>
          <w:rFonts w:eastAsia="Calibri" w:cs="Times New Roman"/>
          <w:b/>
        </w:rPr>
      </w:pPr>
      <w:r w:rsidRPr="002F663C">
        <w:rPr>
          <w:rFonts w:eastAsia="Calibri" w:cs="Times New Roman"/>
          <w:b/>
        </w:rPr>
        <w:t>_______________</w:t>
      </w:r>
    </w:p>
    <w:p w:rsidR="002F663C" w:rsidP="002F663C" w14:paraId="30ABBB89" w14:textId="77777777">
      <w:pPr>
        <w:rPr>
          <w:rFonts w:eastAsia="Calibri" w:cs="Times New Roman"/>
        </w:rPr>
      </w:pPr>
    </w:p>
    <w:p w:rsidR="00C14444" w:rsidRPr="002F663C" w:rsidP="002F663C" w14:paraId="47463316" w14:textId="77777777">
      <w:pPr>
        <w:rPr>
          <w:rFonts w:eastAsia="Calibri" w:cs="Times New Roman"/>
        </w:rPr>
      </w:pPr>
    </w:p>
    <w:p w:rsidR="002F663C" w:rsidRPr="002F663C" w:rsidP="002F663C" w14:paraId="6B22B54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 of Ordinance No. 314, 29 May 2025</w:t>
      </w:r>
    </w:p>
    <w:p w:rsidR="002F663C" w:rsidRPr="002F663C" w:rsidP="002F663C" w14:paraId="2D920A7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9224A8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56A73ED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015A1DF" w14:textId="77777777" w:rsidTr="00E9471B">
        <w:tblPrEx>
          <w:tblW w:w="9049" w:type="dxa"/>
          <w:tblLayout w:type="fixed"/>
          <w:tblLook w:val="04A0"/>
        </w:tblPrEx>
        <w:tc>
          <w:tcPr>
            <w:tcW w:w="851" w:type="dxa"/>
            <w:shd w:val="clear" w:color="auto" w:fill="auto"/>
          </w:tcPr>
          <w:p w:rsidR="002F663C" w:rsidRPr="00711F9C" w:rsidP="00C14444" w14:paraId="6392962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9983AD5" w14:textId="77777777">
            <w:pPr>
              <w:spacing w:before="60" w:after="60"/>
              <w:rPr>
                <w:rFonts w:eastAsia="Calibri" w:cs="Times New Roman"/>
              </w:rPr>
            </w:pPr>
            <w:r>
              <w:rPr>
                <w:rFonts w:eastAsia="Calibri" w:cs="Times New Roman"/>
              </w:rPr>
              <w:t>C</w:t>
            </w:r>
            <w:r w:rsidRPr="002F663C">
              <w:rPr>
                <w:rFonts w:eastAsia="Calibri" w:cs="Times New Roman"/>
              </w:rPr>
              <w:t xml:space="preserve">omment period </w:t>
            </w:r>
            <w:r w:rsidRPr="002F663C">
              <w:rPr>
                <w:rFonts w:eastAsia="Calibri" w:cs="Times New Roman"/>
              </w:rPr>
              <w:t>changed - date:</w:t>
            </w:r>
            <w:r w:rsidR="001642F0">
              <w:rPr>
                <w:rFonts w:eastAsia="Calibri" w:cs="Times New Roman"/>
              </w:rPr>
              <w:t xml:space="preserve"> </w:t>
            </w:r>
          </w:p>
        </w:tc>
      </w:tr>
      <w:tr w14:paraId="2DA71F53" w14:textId="77777777" w:rsidTr="00E9471B">
        <w:tblPrEx>
          <w:tblW w:w="9049" w:type="dxa"/>
          <w:tblLayout w:type="fixed"/>
          <w:tblLook w:val="04A0"/>
        </w:tblPrEx>
        <w:tc>
          <w:tcPr>
            <w:tcW w:w="851" w:type="dxa"/>
            <w:shd w:val="clear" w:color="auto" w:fill="auto"/>
          </w:tcPr>
          <w:p w:rsidR="002F663C" w:rsidRPr="00711F9C" w:rsidP="00C14444" w14:paraId="48EFAD1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DD05DB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B341EE4" w14:textId="77777777" w:rsidTr="00E9471B">
        <w:tblPrEx>
          <w:tblW w:w="9049" w:type="dxa"/>
          <w:tblLayout w:type="fixed"/>
          <w:tblLook w:val="04A0"/>
        </w:tblPrEx>
        <w:tc>
          <w:tcPr>
            <w:tcW w:w="851" w:type="dxa"/>
            <w:shd w:val="clear" w:color="auto" w:fill="auto"/>
          </w:tcPr>
          <w:p w:rsidR="002F663C" w:rsidRPr="00711F9C" w:rsidP="00C14444" w14:paraId="7F698CB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F473E7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30 May 2025</w:t>
            </w:r>
          </w:p>
        </w:tc>
      </w:tr>
      <w:tr w14:paraId="0D4198F0" w14:textId="77777777" w:rsidTr="00E9471B">
        <w:tblPrEx>
          <w:tblW w:w="9049" w:type="dxa"/>
          <w:tblLayout w:type="fixed"/>
          <w:tblLook w:val="04A0"/>
        </w:tblPrEx>
        <w:tc>
          <w:tcPr>
            <w:tcW w:w="851" w:type="dxa"/>
            <w:shd w:val="clear" w:color="auto" w:fill="auto"/>
          </w:tcPr>
          <w:p w:rsidR="002F663C" w:rsidRPr="00711F9C" w:rsidP="00C14444" w14:paraId="5991EB7D"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E04125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30 May 2025</w:t>
            </w:r>
          </w:p>
        </w:tc>
      </w:tr>
      <w:tr w14:paraId="7966A948" w14:textId="77777777" w:rsidTr="00E9471B">
        <w:tblPrEx>
          <w:tblW w:w="9049" w:type="dxa"/>
          <w:tblLayout w:type="fixed"/>
          <w:tblLook w:val="04A0"/>
        </w:tblPrEx>
        <w:tc>
          <w:tcPr>
            <w:tcW w:w="851" w:type="dxa"/>
            <w:shd w:val="clear" w:color="auto" w:fill="auto"/>
          </w:tcPr>
          <w:p w:rsidR="002F663C" w:rsidRPr="00711F9C" w:rsidP="00C14444" w14:paraId="2894DB2C"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1A8F25C"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253D55E" w14:textId="77777777" w:rsidTr="00E9471B">
        <w:tblPrEx>
          <w:tblW w:w="9049" w:type="dxa"/>
          <w:tblLayout w:type="fixed"/>
          <w:tblLook w:val="04A0"/>
        </w:tblPrEx>
        <w:tc>
          <w:tcPr>
            <w:tcW w:w="851" w:type="dxa"/>
            <w:shd w:val="clear" w:color="auto" w:fill="auto"/>
          </w:tcPr>
          <w:p w:rsidR="002F663C" w:rsidRPr="00711F9C" w:rsidP="00C14444" w14:paraId="727924B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C82808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589CB9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9D02313" w14:textId="77777777" w:rsidTr="00E9471B">
        <w:tblPrEx>
          <w:tblW w:w="9049" w:type="dxa"/>
          <w:tblLayout w:type="fixed"/>
          <w:tblLook w:val="04A0"/>
        </w:tblPrEx>
        <w:tc>
          <w:tcPr>
            <w:tcW w:w="851" w:type="dxa"/>
            <w:shd w:val="clear" w:color="auto" w:fill="auto"/>
          </w:tcPr>
          <w:p w:rsidR="002F663C" w:rsidRPr="00711F9C" w:rsidP="00C14444" w14:paraId="552D4081"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4106809"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473EC93" w14:textId="77777777">
            <w:pPr>
              <w:spacing w:before="120" w:after="120"/>
              <w:rPr>
                <w:rFonts w:eastAsia="Calibri" w:cs="Times New Roman"/>
              </w:rPr>
            </w:pPr>
            <w:hyperlink r:id="rId6" w:tgtFrame="_blank" w:history="1">
              <w:r>
                <w:rPr>
                  <w:rFonts w:eastAsia="Calibri" w:cs="Times New Roman"/>
                  <w:color w:val="0000FF"/>
                  <w:u w:val="single"/>
                </w:rPr>
                <w:t>https://www.in.gov.br/en/web/dou/-/portaria-n-314-de-29-de-maio-de-2025-632890915</w:t>
              </w:r>
            </w:hyperlink>
          </w:p>
          <w:p w:rsidR="002F663C" w:rsidRPr="002F663C" w:rsidP="00C14444" w14:paraId="2E478BE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4AD4A13" w14:textId="77777777" w:rsidTr="00E9471B">
        <w:tblPrEx>
          <w:tblW w:w="9049" w:type="dxa"/>
          <w:tblLayout w:type="fixed"/>
          <w:tblLook w:val="04A0"/>
        </w:tblPrEx>
        <w:tc>
          <w:tcPr>
            <w:tcW w:w="851" w:type="dxa"/>
            <w:shd w:val="clear" w:color="auto" w:fill="auto"/>
          </w:tcPr>
          <w:p w:rsidR="002F663C" w:rsidRPr="00711F9C" w:rsidP="00C14444" w14:paraId="10DE3BD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8A95EF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1312C42"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16FFB00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6A105F9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67B9D1F" w14:textId="77777777">
      <w:pPr>
        <w:jc w:val="left"/>
        <w:rPr>
          <w:rFonts w:eastAsia="Calibri" w:cs="Times New Roman"/>
          <w:highlight w:val="yellow"/>
        </w:rPr>
      </w:pPr>
    </w:p>
    <w:p w:rsidR="003971FF" w:rsidRPr="007F6EA2" w:rsidP="00B16ACF" w14:paraId="6F476A2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Inmetro, amends the requirements of the </w:t>
      </w:r>
      <w:r w:rsidRPr="002F663C">
        <w:rPr>
          <w:rFonts w:eastAsia="Calibri" w:cs="Times New Roman"/>
          <w:szCs w:val="18"/>
        </w:rPr>
        <w:t>Conformity Identification Seal for helmets for drivers and passengers of motorcycles and similar, fire extinguishers, technical inspection and maintenance of fire extinguishers, cylinders for storage of natural gas for vehicles and requalification of cylinders intended for storage of natural gas for vehicles, established by Inmetro Ordinances No. 108, of 17/03/2022, to integrate the project "Inmetro in the Palm of your Hand".</w:t>
      </w:r>
    </w:p>
    <w:p w:rsidR="006C5A96" w:rsidP="006C5A96" w14:paraId="21BF52DA" w14:textId="77777777">
      <w:pPr>
        <w:jc w:val="center"/>
        <w:rPr>
          <w:b/>
        </w:rPr>
      </w:pPr>
      <w:r w:rsidRPr="003971FF">
        <w:rPr>
          <w:b/>
        </w:rPr>
        <w:t>__________</w:t>
      </w:r>
    </w:p>
    <w:p w:rsidR="004D4D19" w:rsidP="007F38C2" w14:paraId="43DA272C" w14:textId="77777777">
      <w:pPr>
        <w:jc w:val="center"/>
        <w:rPr>
          <w:b/>
        </w:rPr>
      </w:pPr>
    </w:p>
    <w:p w:rsidR="00A1565D" w:rsidP="003971FF" w14:paraId="231DA2BF"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E6C5A6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0A180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D0422E7" w14:textId="77777777">
      <w:r>
        <w:separator/>
      </w:r>
    </w:p>
  </w:footnote>
  <w:footnote w:type="continuationSeparator" w:id="1">
    <w:p w:rsidR="004D3A6A" w:rsidP="00ED54E0" w14:paraId="0D1CB230" w14:textId="77777777">
      <w:r>
        <w:continuationSeparator/>
      </w:r>
    </w:p>
  </w:footnote>
  <w:footnote w:id="2">
    <w:p w:rsidR="007F6EA2" w14:paraId="3F946FF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5DA1E0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BBE7BD5" w14:textId="77777777">
    <w:pPr>
      <w:pStyle w:val="Header"/>
      <w:pBdr>
        <w:bottom w:val="single" w:sz="4" w:space="1" w:color="auto"/>
      </w:pBdr>
      <w:tabs>
        <w:tab w:val="clear" w:pos="4513"/>
        <w:tab w:val="clear" w:pos="9027"/>
      </w:tabs>
      <w:jc w:val="center"/>
    </w:pPr>
  </w:p>
  <w:p w:rsidR="00DD3DD7" w:rsidRPr="00DD3DD7" w:rsidP="00DD3DD7" w14:paraId="55A1884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0F6B76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172A0EC" w14:textId="77777777">
    <w:pPr>
      <w:pStyle w:val="Header"/>
      <w:pBdr>
        <w:bottom w:val="single" w:sz="4" w:space="1" w:color="auto"/>
      </w:pBdr>
      <w:tabs>
        <w:tab w:val="clear" w:pos="4513"/>
        <w:tab w:val="clear" w:pos="9027"/>
      </w:tabs>
      <w:jc w:val="center"/>
    </w:pPr>
    <w:bookmarkStart w:id="3" w:name="spsSymbolHeader"/>
    <w:r w:rsidRPr="00DD3DD7">
      <w:t>G/TBT/N/BRA/336/Add.6</w:t>
    </w:r>
    <w:bookmarkEnd w:id="3"/>
  </w:p>
  <w:p w:rsidR="00DD3DD7" w:rsidRPr="00DD3DD7" w:rsidP="00DD3DD7" w14:paraId="55947F82" w14:textId="77777777">
    <w:pPr>
      <w:pStyle w:val="Header"/>
      <w:pBdr>
        <w:bottom w:val="single" w:sz="4" w:space="1" w:color="auto"/>
      </w:pBdr>
      <w:tabs>
        <w:tab w:val="clear" w:pos="4513"/>
        <w:tab w:val="clear" w:pos="9027"/>
      </w:tabs>
      <w:jc w:val="center"/>
    </w:pPr>
  </w:p>
  <w:p w:rsidR="00DD3DD7" w:rsidRPr="00DD3DD7" w:rsidP="00DD3DD7" w14:paraId="3CEC8F2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A3C4E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F9BA8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105BC2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41028CA" w14:textId="77777777">
          <w:pPr>
            <w:jc w:val="right"/>
            <w:rPr>
              <w:b/>
              <w:color w:val="FF0000"/>
              <w:szCs w:val="16"/>
            </w:rPr>
          </w:pPr>
          <w:r>
            <w:rPr>
              <w:b/>
              <w:color w:val="FF0000"/>
              <w:szCs w:val="16"/>
            </w:rPr>
            <w:t xml:space="preserve"> </w:t>
          </w:r>
        </w:p>
      </w:tc>
    </w:tr>
    <w:tr w14:paraId="7A95DC0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976A60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7CBA56C" w14:textId="77777777">
          <w:pPr>
            <w:jc w:val="right"/>
            <w:rPr>
              <w:b/>
              <w:szCs w:val="16"/>
            </w:rPr>
          </w:pPr>
        </w:p>
      </w:tc>
    </w:tr>
    <w:tr w14:paraId="2C982C2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226D06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6170EB7" w14:textId="77777777">
          <w:pPr>
            <w:jc w:val="right"/>
            <w:rPr>
              <w:rFonts w:eastAsia="Calibri" w:cs="Times New Roman"/>
              <w:b/>
              <w:szCs w:val="16"/>
            </w:rPr>
          </w:pPr>
          <w:bookmarkStart w:id="4" w:name="bmkSymbols"/>
          <w:r w:rsidRPr="002F663C">
            <w:rPr>
              <w:rFonts w:eastAsia="Calibri" w:cs="Times New Roman"/>
              <w:b/>
              <w:szCs w:val="16"/>
            </w:rPr>
            <w:t>G/TBT/N/BRA/336/Add.6</w:t>
          </w:r>
          <w:bookmarkEnd w:id="4"/>
        </w:p>
        <w:p w:rsidR="00C14444" w:rsidRPr="00C14444" w:rsidP="00C14444" w14:paraId="3D9C3488" w14:textId="77777777">
          <w:pPr>
            <w:jc w:val="center"/>
            <w:rPr>
              <w:szCs w:val="16"/>
            </w:rPr>
          </w:pPr>
        </w:p>
      </w:tc>
    </w:tr>
    <w:tr w14:paraId="79C1F2B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4E1EF50" w14:textId="77777777"/>
      </w:tc>
      <w:tc>
        <w:tcPr>
          <w:tcW w:w="5448" w:type="dxa"/>
          <w:gridSpan w:val="2"/>
          <w:shd w:val="clear" w:color="auto" w:fill="FFFFFF"/>
          <w:tcMar>
            <w:left w:w="108" w:type="dxa"/>
            <w:right w:w="108" w:type="dxa"/>
          </w:tcMar>
          <w:vAlign w:val="center"/>
        </w:tcPr>
        <w:p w:rsidR="00ED54E0" w:rsidRPr="00182B84" w:rsidP="00425DC5" w14:paraId="4AA6BD88" w14:textId="77777777">
          <w:pPr>
            <w:jc w:val="right"/>
            <w:rPr>
              <w:szCs w:val="16"/>
            </w:rPr>
          </w:pPr>
          <w:bookmarkStart w:id="5" w:name="bmkDate"/>
          <w:r w:rsidRPr="00182B84">
            <w:rPr>
              <w:szCs w:val="16"/>
            </w:rPr>
            <w:t>11 June 2025</w:t>
          </w:r>
          <w:bookmarkEnd w:id="5"/>
        </w:p>
      </w:tc>
    </w:tr>
    <w:tr w14:paraId="41C03FD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088DD9A" w14:textId="77777777">
          <w:pPr>
            <w:jc w:val="left"/>
            <w:rPr>
              <w:b/>
            </w:rPr>
          </w:pPr>
          <w:bookmarkStart w:id="6" w:name="bmkSerial"/>
          <w:r>
            <w:rPr>
              <w:b w:val="0"/>
              <w:color w:val="FF0000"/>
            </w:rPr>
            <w:t>(25-3855)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DAA1A5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336379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75DC73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3B1487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1FEF8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3730608">
    <w:abstractNumId w:val="9"/>
  </w:num>
  <w:num w:numId="2" w16cid:durableId="1084910795">
    <w:abstractNumId w:val="7"/>
  </w:num>
  <w:num w:numId="3" w16cid:durableId="831531379">
    <w:abstractNumId w:val="6"/>
  </w:num>
  <w:num w:numId="4" w16cid:durableId="614676259">
    <w:abstractNumId w:val="5"/>
  </w:num>
  <w:num w:numId="5" w16cid:durableId="1371153359">
    <w:abstractNumId w:val="4"/>
  </w:num>
  <w:num w:numId="6" w16cid:durableId="995189515">
    <w:abstractNumId w:val="12"/>
  </w:num>
  <w:num w:numId="7" w16cid:durableId="2065062706">
    <w:abstractNumId w:val="11"/>
  </w:num>
  <w:num w:numId="8" w16cid:durableId="986396756">
    <w:abstractNumId w:val="10"/>
  </w:num>
  <w:num w:numId="9" w16cid:durableId="1788354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0315098">
    <w:abstractNumId w:val="13"/>
  </w:num>
  <w:num w:numId="11" w16cid:durableId="595866340">
    <w:abstractNumId w:val="8"/>
  </w:num>
  <w:num w:numId="12" w16cid:durableId="1083453522">
    <w:abstractNumId w:val="3"/>
  </w:num>
  <w:num w:numId="13" w16cid:durableId="1674603413">
    <w:abstractNumId w:val="2"/>
  </w:num>
  <w:num w:numId="14" w16cid:durableId="1131479886">
    <w:abstractNumId w:val="1"/>
  </w:num>
  <w:num w:numId="15" w16cid:durableId="80029666">
    <w:abstractNumId w:val="0"/>
  </w:num>
  <w:num w:numId="16" w16cid:durableId="133098018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95A6B"/>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3B07"/>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C263A"/>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E3DC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in.gov.br/en/web/dou/-/portaria-n-314-de-29-de-maio-de-2025-632890915"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2025-06-11T12:20:00Z</dcterms:created>
  <dcterms:modified xsi:type="dcterms:W3CDTF">2025-06-11T12:20:00Z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