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BE8E71F" w14:textId="77777777">
      <w:pPr>
        <w:pStyle w:val="Title"/>
      </w:pPr>
      <w:r w:rsidRPr="002F663C">
        <w:t>NOTIFICATION</w:t>
      </w:r>
    </w:p>
    <w:p w:rsidR="002F663C" w:rsidRPr="002F663C" w:rsidP="00DD3DD7" w14:paraId="20F758F2" w14:textId="77777777">
      <w:pPr>
        <w:pStyle w:val="Title3"/>
      </w:pPr>
      <w:r w:rsidRPr="002F663C">
        <w:t>Addendum</w:t>
      </w:r>
    </w:p>
    <w:p w:rsidR="002F663C" w:rsidP="001E2E4A" w14:paraId="4C1BF6BB"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23 May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67D55453" w14:textId="77777777">
      <w:pPr>
        <w:rPr>
          <w:rFonts w:eastAsia="Calibri" w:cs="Times New Roman"/>
        </w:rPr>
      </w:pPr>
    </w:p>
    <w:p w:rsidR="002F663C" w:rsidRPr="002F663C" w:rsidP="002F663C" w14:paraId="7E10DFAC" w14:textId="77777777">
      <w:pPr>
        <w:jc w:val="center"/>
        <w:rPr>
          <w:rFonts w:eastAsia="Calibri" w:cs="Times New Roman"/>
          <w:b/>
        </w:rPr>
      </w:pPr>
      <w:r w:rsidRPr="002F663C">
        <w:rPr>
          <w:rFonts w:eastAsia="Calibri" w:cs="Times New Roman"/>
          <w:b/>
        </w:rPr>
        <w:t>_______________</w:t>
      </w:r>
    </w:p>
    <w:p w:rsidR="002F663C" w:rsidP="002F663C" w14:paraId="6861BC6C" w14:textId="77777777">
      <w:pPr>
        <w:rPr>
          <w:rFonts w:eastAsia="Calibri" w:cs="Times New Roman"/>
        </w:rPr>
      </w:pPr>
    </w:p>
    <w:p w:rsidR="00C14444" w:rsidRPr="002F663C" w:rsidP="002F663C" w14:paraId="08866DA7" w14:textId="77777777">
      <w:pPr>
        <w:rPr>
          <w:rFonts w:eastAsia="Calibri" w:cs="Times New Roman"/>
        </w:rPr>
      </w:pPr>
    </w:p>
    <w:p w:rsidR="002F663C" w:rsidRPr="002F663C" w:rsidP="002F663C" w14:paraId="28296128"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2025 Updates to Oregon's Clean Truck Rules</w:t>
      </w:r>
    </w:p>
    <w:p w:rsidR="002F663C" w:rsidRPr="002F663C" w:rsidP="002F663C" w14:paraId="56810BEE"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42E593E"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2FB37F7B"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1CB93BE" w14:textId="77777777" w:rsidTr="00E9471B">
        <w:tblPrEx>
          <w:tblW w:w="9049" w:type="dxa"/>
          <w:tblLayout w:type="fixed"/>
          <w:tblLook w:val="04A0"/>
        </w:tblPrEx>
        <w:tc>
          <w:tcPr>
            <w:tcW w:w="851" w:type="dxa"/>
            <w:shd w:val="clear" w:color="auto" w:fill="auto"/>
          </w:tcPr>
          <w:p w:rsidR="002F663C" w:rsidRPr="00711F9C" w:rsidP="00C14444" w14:paraId="512264E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F85F9C4"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08F42A5" w14:textId="77777777" w:rsidTr="00E9471B">
        <w:tblPrEx>
          <w:tblW w:w="9049" w:type="dxa"/>
          <w:tblLayout w:type="fixed"/>
          <w:tblLook w:val="04A0"/>
        </w:tblPrEx>
        <w:tc>
          <w:tcPr>
            <w:tcW w:w="851" w:type="dxa"/>
            <w:shd w:val="clear" w:color="auto" w:fill="auto"/>
          </w:tcPr>
          <w:p w:rsidR="002F663C" w:rsidRPr="00711F9C" w:rsidP="00C14444" w14:paraId="39EFBB10"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CE822E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0463811D" w14:textId="77777777" w:rsidTr="00E9471B">
        <w:tblPrEx>
          <w:tblW w:w="9049" w:type="dxa"/>
          <w:tblLayout w:type="fixed"/>
          <w:tblLook w:val="04A0"/>
        </w:tblPrEx>
        <w:tc>
          <w:tcPr>
            <w:tcW w:w="851" w:type="dxa"/>
            <w:shd w:val="clear" w:color="auto" w:fill="auto"/>
          </w:tcPr>
          <w:p w:rsidR="002F663C" w:rsidRPr="00711F9C" w:rsidP="00C14444" w14:paraId="02FC882A"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2D006D0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47B579B0" w14:textId="77777777" w:rsidTr="00E9471B">
        <w:tblPrEx>
          <w:tblW w:w="9049" w:type="dxa"/>
          <w:tblLayout w:type="fixed"/>
          <w:tblLook w:val="04A0"/>
        </w:tblPrEx>
        <w:tc>
          <w:tcPr>
            <w:tcW w:w="851" w:type="dxa"/>
            <w:shd w:val="clear" w:color="auto" w:fill="auto"/>
          </w:tcPr>
          <w:p w:rsidR="002F663C" w:rsidRPr="00711F9C" w:rsidP="00C14444" w14:paraId="785CD84C"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CE2E69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1BBFE8DA" w14:textId="77777777" w:rsidTr="00E9471B">
        <w:tblPrEx>
          <w:tblW w:w="9049" w:type="dxa"/>
          <w:tblLayout w:type="fixed"/>
          <w:tblLook w:val="04A0"/>
        </w:tblPrEx>
        <w:tc>
          <w:tcPr>
            <w:tcW w:w="851" w:type="dxa"/>
            <w:shd w:val="clear" w:color="auto" w:fill="auto"/>
          </w:tcPr>
          <w:p w:rsidR="002F663C" w:rsidRPr="00711F9C" w:rsidP="00C14444" w14:paraId="180A2351"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57F98DC0"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1CCF720D" w14:textId="77777777" w:rsidTr="00E9471B">
        <w:tblPrEx>
          <w:tblW w:w="9049" w:type="dxa"/>
          <w:tblLayout w:type="fixed"/>
          <w:tblLook w:val="04A0"/>
        </w:tblPrEx>
        <w:tc>
          <w:tcPr>
            <w:tcW w:w="851" w:type="dxa"/>
            <w:shd w:val="clear" w:color="auto" w:fill="auto"/>
          </w:tcPr>
          <w:p w:rsidR="002F663C" w:rsidRPr="00711F9C" w:rsidP="00C14444" w14:paraId="2C54AE77"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47B5D8B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26476A8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7CAF2D97" w14:textId="77777777" w:rsidTr="00E9471B">
        <w:tblPrEx>
          <w:tblW w:w="9049" w:type="dxa"/>
          <w:tblLayout w:type="fixed"/>
          <w:tblLook w:val="04A0"/>
        </w:tblPrEx>
        <w:tc>
          <w:tcPr>
            <w:tcW w:w="851" w:type="dxa"/>
            <w:shd w:val="clear" w:color="auto" w:fill="auto"/>
          </w:tcPr>
          <w:p w:rsidR="002F663C" w:rsidRPr="00711F9C" w:rsidP="00C14444" w14:paraId="5D57137E"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7093C082"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6F4D1F1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2E22ADFD" w14:textId="77777777" w:rsidTr="00E9471B">
        <w:tblPrEx>
          <w:tblW w:w="9049" w:type="dxa"/>
          <w:tblLayout w:type="fixed"/>
          <w:tblLook w:val="04A0"/>
        </w:tblPrEx>
        <w:tc>
          <w:tcPr>
            <w:tcW w:w="851" w:type="dxa"/>
            <w:shd w:val="clear" w:color="auto" w:fill="auto"/>
          </w:tcPr>
          <w:p w:rsidR="002F663C" w:rsidRPr="00711F9C" w:rsidP="00C14444" w14:paraId="6774F18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0C6231F1"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C4D108E"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037988AC"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shd w:val="clear" w:color="auto" w:fill="auto"/>
          </w:tcPr>
          <w:p w:rsidR="002F663C" w:rsidRPr="002F663C" w:rsidP="00EB7B40" w14:paraId="687CE614"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1A9384EE" w14:textId="77777777">
            <w:pPr>
              <w:spacing w:before="120" w:after="120"/>
              <w:rPr>
                <w:rFonts w:eastAsia="Calibri" w:cs="Times New Roman"/>
              </w:rPr>
            </w:pPr>
            <w:r>
              <w:rPr>
                <w:rFonts w:eastAsia="Calibri" w:cs="Times New Roman"/>
              </w:rPr>
              <w:t>Limited Enforcement Discretion and No Penalty Justification for Advanced Clean Trucks Rule, OAR Chapter 340 Division 257</w:t>
            </w:r>
          </w:p>
          <w:p w:rsidR="00467A46" w:rsidP="00EB7B40" w14:paraId="285F5503"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https://members.wto.org/crnattachments/2025/TBT/USA/25_03538_00_e.pdf</w:t>
              </w:r>
            </w:hyperlink>
          </w:p>
        </w:tc>
      </w:tr>
      <w:bookmarkEnd w:id="0"/>
    </w:tbl>
    <w:p w:rsidR="002F663C" w:rsidRPr="002F663C" w:rsidP="002F663C" w14:paraId="638107D4" w14:textId="77777777">
      <w:pPr>
        <w:jc w:val="left"/>
        <w:rPr>
          <w:rFonts w:eastAsia="Calibri" w:cs="Times New Roman"/>
          <w:highlight w:val="yellow"/>
        </w:rPr>
      </w:pPr>
    </w:p>
    <w:p w:rsidR="003971FF" w:rsidRPr="007F6EA2" w:rsidP="00B16ACF" w14:paraId="68162DC0"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On 15 May 2025, </w:t>
      </w:r>
      <w:hyperlink r:id="rId8" w:history="1">
        <w:r w:rsidRPr="002F663C">
          <w:rPr>
            <w:rFonts w:eastAsia="Calibri" w:cs="Times New Roman"/>
            <w:color w:val="0000FF"/>
            <w:szCs w:val="18"/>
            <w:u w:val="single"/>
          </w:rPr>
          <w:t>Oregon Department of Environmental Quality</w:t>
        </w:r>
      </w:hyperlink>
      <w:r w:rsidRPr="002F663C">
        <w:rPr>
          <w:rFonts w:eastAsia="Calibri" w:cs="Times New Roman"/>
          <w:szCs w:val="18"/>
        </w:rPr>
        <w:t xml:space="preserve"> (DEQ) Director Feldon issued a </w:t>
      </w:r>
      <w:hyperlink r:id="rId9" w:history="1">
        <w:r w:rsidRPr="002F663C">
          <w:rPr>
            <w:rFonts w:eastAsia="Calibri" w:cs="Times New Roman"/>
            <w:color w:val="0000FF"/>
            <w:szCs w:val="18"/>
            <w:u w:val="single"/>
          </w:rPr>
          <w:t>memo</w:t>
        </w:r>
      </w:hyperlink>
      <w:r w:rsidRPr="002F663C">
        <w:rPr>
          <w:rFonts w:eastAsia="Calibri" w:cs="Times New Roman"/>
          <w:szCs w:val="18"/>
        </w:rPr>
        <w:t xml:space="preserve"> directing the agency to use its enforcement discretion for the </w:t>
      </w:r>
      <w:hyperlink r:id="rId10" w:history="1">
        <w:r w:rsidRPr="002F663C">
          <w:rPr>
            <w:rFonts w:eastAsia="Calibri" w:cs="Times New Roman"/>
            <w:color w:val="0000FF"/>
            <w:szCs w:val="18"/>
            <w:u w:val="single"/>
          </w:rPr>
          <w:t>Advanced Clean Trucks Rule</w:t>
        </w:r>
      </w:hyperlink>
      <w:r w:rsidRPr="002F663C">
        <w:rPr>
          <w:rFonts w:eastAsia="Calibri" w:cs="Times New Roman"/>
          <w:szCs w:val="18"/>
        </w:rPr>
        <w:t xml:space="preserve">. Effective immediately, DEQ will not pursue enforcement or issue penalties to manufacturers failing to meet zero-emissions vehicle sales targets for all Model Year 2025 and 2026 Class 2b-8 vehicles. This update does not affect Oregon's </w:t>
      </w:r>
      <w:hyperlink r:id="rId11" w:history="1">
        <w:r w:rsidRPr="002F663C">
          <w:rPr>
            <w:rFonts w:eastAsia="Calibri" w:cs="Times New Roman"/>
            <w:color w:val="0000FF"/>
            <w:szCs w:val="18"/>
            <w:u w:val="single"/>
          </w:rPr>
          <w:t>Heavy-Duty Low NOx Omnibus Rule</w:t>
        </w:r>
      </w:hyperlink>
      <w:r w:rsidRPr="002F663C">
        <w:rPr>
          <w:rFonts w:eastAsia="Calibri" w:cs="Times New Roman"/>
          <w:szCs w:val="18"/>
        </w:rPr>
        <w:t xml:space="preserve">. </w:t>
      </w:r>
    </w:p>
    <w:p w:rsidR="003312D8" w:rsidRPr="002F663C" w:rsidP="00B16ACF" w14:paraId="35E60182" w14:textId="77777777">
      <w:pPr>
        <w:spacing w:before="120" w:after="120"/>
        <w:rPr>
          <w:rFonts w:eastAsia="Calibri" w:cs="Times New Roman"/>
          <w:szCs w:val="18"/>
        </w:rPr>
      </w:pPr>
      <w:r w:rsidRPr="002F663C">
        <w:rPr>
          <w:rFonts w:eastAsia="Calibri" w:cs="Times New Roman"/>
          <w:szCs w:val="18"/>
        </w:rPr>
        <w:t>The Oregon Environmental Quality Commission adopted the ACT Rule in 2021, requiring medium- and heavy-duty truck manufacturers to sell an increasing percentage of ZEV trucks in the Oregon market.</w:t>
      </w:r>
    </w:p>
    <w:p w:rsidR="003312D8" w:rsidRPr="002F663C" w:rsidP="00B16ACF" w14:paraId="53D49B23" w14:textId="77777777">
      <w:pPr>
        <w:spacing w:before="120" w:after="120"/>
        <w:rPr>
          <w:rFonts w:eastAsia="Calibri" w:cs="Times New Roman"/>
          <w:szCs w:val="18"/>
        </w:rPr>
      </w:pPr>
      <w:r w:rsidRPr="002F663C">
        <w:rPr>
          <w:rFonts w:eastAsia="Calibri" w:cs="Times New Roman"/>
          <w:szCs w:val="18"/>
        </w:rPr>
        <w:t xml:space="preserve">The rule became effective 1 January 2025. Since that time, manufacturers have expressed concern with their ability to comply with those rules and some are withholding conventional diesel trucks from the market until dealers first purchase ZEV trucks. This practice of withholding inventory has </w:t>
      </w:r>
      <w:r w:rsidRPr="002F663C">
        <w:rPr>
          <w:rFonts w:eastAsia="Calibri" w:cs="Times New Roman"/>
          <w:szCs w:val="18"/>
        </w:rPr>
        <w:t>led to significant disruption in the new truck sales market in Oregon. Additionally, actions taken at the federal level, including withholding charging infrastructure funds and imposing tariffs are challenging the broader deployment of ZEV trucks.</w:t>
      </w:r>
    </w:p>
    <w:p w:rsidR="003312D8" w:rsidRPr="002F663C" w:rsidP="00B16ACF" w14:paraId="1E506F6C" w14:textId="77777777">
      <w:pPr>
        <w:spacing w:before="120" w:after="120"/>
        <w:rPr>
          <w:rFonts w:eastAsia="Calibri" w:cs="Times New Roman"/>
          <w:szCs w:val="18"/>
        </w:rPr>
      </w:pPr>
      <w:r w:rsidRPr="002F663C">
        <w:rPr>
          <w:rFonts w:eastAsia="Calibri" w:cs="Times New Roman"/>
          <w:szCs w:val="18"/>
        </w:rPr>
        <w:t>In November 2024, as part of a rulemaking to add flexibilities to the 2021 ACT rule, the EQC directed agency staff to evaluate challenges tied to carrying out the ACT rule in Oregon and find possible solutions.</w:t>
      </w:r>
    </w:p>
    <w:p w:rsidR="003312D8" w:rsidRPr="002F663C" w:rsidP="00B16ACF" w14:paraId="0ECF56AF" w14:textId="77777777">
      <w:pPr>
        <w:spacing w:before="120" w:after="120"/>
        <w:rPr>
          <w:rFonts w:eastAsia="Calibri" w:cs="Times New Roman"/>
          <w:szCs w:val="18"/>
        </w:rPr>
      </w:pPr>
      <w:r w:rsidRPr="002F663C">
        <w:rPr>
          <w:rFonts w:eastAsia="Calibri" w:cs="Times New Roman"/>
          <w:szCs w:val="18"/>
        </w:rPr>
        <w:t>After receiving public comment on proposed rules, DEQ has found that action is needed now to address the market disruption. Therefore, the agency is committing to not pursuing enforcement or assessing civil penalties against any manufacturer of medium- and heavy-duty vehicles that does not meet the specified ZEV sales percentages and experiences deficit shortfalls for Model Years 2025 and 2026, provided those manufacturers continue to supply internal combustion engine vehicles to Oregon distributors and dea</w:t>
      </w:r>
      <w:r w:rsidRPr="002F663C">
        <w:rPr>
          <w:rFonts w:eastAsia="Calibri" w:cs="Times New Roman"/>
          <w:szCs w:val="18"/>
        </w:rPr>
        <w:t>lers without imposing restrictions or conditions that would limit their availability.</w:t>
      </w:r>
    </w:p>
    <w:p w:rsidR="003312D8" w:rsidRPr="002F663C" w:rsidP="00B16ACF" w14:paraId="433D1FE3" w14:textId="77777777">
      <w:pPr>
        <w:spacing w:before="120" w:after="120"/>
        <w:rPr>
          <w:rFonts w:eastAsia="Calibri" w:cs="Times New Roman"/>
          <w:szCs w:val="18"/>
        </w:rPr>
      </w:pPr>
      <w:r w:rsidRPr="002F663C">
        <w:rPr>
          <w:rFonts w:eastAsia="Calibri" w:cs="Times New Roman"/>
          <w:szCs w:val="18"/>
        </w:rPr>
        <w:t>The intent of DEQ's enforcement discretion directive is to provide temporary relief to manufacturers facing challenges in meeting ZEV sales targets, as well as businesses and fleet owners across the state in need of new conventional and ZEV trucks. This will ensure continued availability of internal combustion engine trucks to meet market demands, while maintaining progress toward Oregon's environmental goals.</w:t>
      </w:r>
    </w:p>
    <w:p w:rsidR="003312D8" w:rsidRPr="002F663C" w:rsidP="00B16ACF" w14:paraId="1AFD16AB" w14:textId="77777777">
      <w:pPr>
        <w:spacing w:before="120" w:after="120"/>
        <w:rPr>
          <w:rFonts w:eastAsia="Calibri" w:cs="Times New Roman"/>
          <w:szCs w:val="18"/>
        </w:rPr>
      </w:pPr>
      <w:r w:rsidRPr="002F663C">
        <w:rPr>
          <w:rFonts w:eastAsia="Calibri" w:cs="Times New Roman"/>
          <w:szCs w:val="18"/>
        </w:rPr>
        <w:t>Additional Information -</w:t>
      </w:r>
    </w:p>
    <w:p w:rsidR="003312D8" w:rsidRPr="002F663C" w:rsidP="00B16ACF" w14:paraId="7A5B515E" w14:textId="77777777">
      <w:pPr>
        <w:spacing w:before="120" w:after="120"/>
        <w:rPr>
          <w:rFonts w:eastAsia="Calibri" w:cs="Times New Roman"/>
          <w:szCs w:val="18"/>
        </w:rPr>
      </w:pPr>
      <w:hyperlink r:id="rId12" w:history="1">
        <w:r w:rsidRPr="002F663C">
          <w:rPr>
            <w:rFonts w:eastAsia="Calibri" w:cs="Times New Roman"/>
            <w:color w:val="0000FF"/>
            <w:szCs w:val="18"/>
            <w:u w:val="single"/>
          </w:rPr>
          <w:t>Oregon's Heavy-Duty Engine and Vehicle Omnibus Rule Frequently Asked Questions (FAQ)</w:t>
        </w:r>
      </w:hyperlink>
    </w:p>
    <w:p w:rsidR="003312D8" w:rsidRPr="002F663C" w:rsidP="00B16ACF" w14:paraId="1C4D8CA5" w14:textId="77777777">
      <w:pPr>
        <w:spacing w:before="120" w:after="120"/>
        <w:rPr>
          <w:rFonts w:eastAsia="Calibri" w:cs="Times New Roman"/>
          <w:szCs w:val="18"/>
        </w:rPr>
      </w:pPr>
      <w:r w:rsidRPr="002F663C">
        <w:rPr>
          <w:rFonts w:eastAsia="Calibri" w:cs="Times New Roman"/>
          <w:szCs w:val="18"/>
        </w:rPr>
        <w:t xml:space="preserve">To learn more about this rulemaking and the advisory committee, view the rulemaking web page at </w:t>
      </w:r>
      <w:hyperlink r:id="rId10" w:history="1">
        <w:r w:rsidRPr="002F663C">
          <w:rPr>
            <w:rFonts w:eastAsia="Calibri" w:cs="Times New Roman"/>
            <w:color w:val="0000FF"/>
            <w:szCs w:val="18"/>
            <w:u w:val="single"/>
          </w:rPr>
          <w:t>Clean Truck Rules 2025</w:t>
        </w:r>
      </w:hyperlink>
      <w:r w:rsidRPr="002F663C">
        <w:rPr>
          <w:rFonts w:eastAsia="Calibri" w:cs="Times New Roman"/>
          <w:szCs w:val="18"/>
        </w:rPr>
        <w:t>.</w:t>
      </w:r>
    </w:p>
    <w:p w:rsidR="003312D8" w:rsidRPr="002F663C" w:rsidP="00B16ACF" w14:paraId="66195567" w14:textId="77777777">
      <w:pPr>
        <w:spacing w:before="120" w:after="120"/>
        <w:rPr>
          <w:rFonts w:eastAsia="Calibri" w:cs="Times New Roman"/>
          <w:szCs w:val="18"/>
        </w:rPr>
      </w:pPr>
      <w:r w:rsidRPr="002F663C">
        <w:rPr>
          <w:rFonts w:eastAsia="Calibri" w:cs="Times New Roman"/>
          <w:szCs w:val="18"/>
        </w:rPr>
        <w:t xml:space="preserve">To receive future email notices about this rulemaking, sign up at </w:t>
      </w:r>
      <w:hyperlink r:id="rId13" w:history="1">
        <w:r w:rsidRPr="002F663C">
          <w:rPr>
            <w:rFonts w:eastAsia="Calibri" w:cs="Times New Roman"/>
            <w:color w:val="0000FF"/>
            <w:szCs w:val="18"/>
            <w:u w:val="single"/>
          </w:rPr>
          <w:t>GovDelivery</w:t>
        </w:r>
      </w:hyperlink>
      <w:r w:rsidRPr="002F663C">
        <w:rPr>
          <w:rFonts w:eastAsia="Calibri" w:cs="Times New Roman"/>
          <w:szCs w:val="18"/>
        </w:rPr>
        <w:t>.</w:t>
      </w:r>
    </w:p>
    <w:p w:rsidR="003312D8" w:rsidRPr="002F663C" w:rsidP="00B16ACF" w14:paraId="74EE4AD9" w14:textId="77777777">
      <w:pPr>
        <w:spacing w:before="120" w:after="120"/>
        <w:rPr>
          <w:rFonts w:eastAsia="Calibri" w:cs="Times New Roman"/>
          <w:szCs w:val="18"/>
        </w:rPr>
      </w:pPr>
      <w:r w:rsidRPr="002F663C">
        <w:rPr>
          <w:rFonts w:eastAsia="Calibri" w:cs="Times New Roman"/>
          <w:szCs w:val="18"/>
        </w:rPr>
        <w:t xml:space="preserve">To obtain more information about this rulemaking, contact Gerik Kransky, senior transportation policy advisor, +1 971-288-6056, </w:t>
      </w:r>
      <w:hyperlink r:id="rId14" w:history="1">
        <w:r w:rsidRPr="002F663C">
          <w:rPr>
            <w:rFonts w:eastAsia="Calibri" w:cs="Times New Roman"/>
            <w:color w:val="0000FF"/>
            <w:szCs w:val="18"/>
            <w:u w:val="single"/>
          </w:rPr>
          <w:t>Gerik.Kransky@deq.oregon.gov</w:t>
        </w:r>
      </w:hyperlink>
      <w:r w:rsidRPr="002F663C">
        <w:rPr>
          <w:rFonts w:eastAsia="Calibri" w:cs="Times New Roman"/>
          <w:szCs w:val="18"/>
        </w:rPr>
        <w:t>.</w:t>
      </w:r>
    </w:p>
    <w:p w:rsidR="006C5A96" w:rsidP="006C5A96" w14:paraId="74BA5F64" w14:textId="77777777">
      <w:pPr>
        <w:jc w:val="center"/>
        <w:rPr>
          <w:b/>
        </w:rPr>
      </w:pPr>
      <w:r w:rsidRPr="003971FF">
        <w:rPr>
          <w:b/>
        </w:rPr>
        <w:t>__________</w:t>
      </w:r>
    </w:p>
    <w:p w:rsidR="004D4D19" w:rsidP="007F38C2" w14:paraId="2CEA6336" w14:textId="77777777">
      <w:pPr>
        <w:jc w:val="center"/>
        <w:rPr>
          <w:b/>
        </w:rPr>
      </w:pPr>
    </w:p>
    <w:p w:rsidR="00A1565D" w:rsidP="003971FF" w14:paraId="36ECC70A" w14:textId="77777777">
      <w:pPr>
        <w:jc w:val="center"/>
        <w:rPr>
          <w:b/>
        </w:rPr>
      </w:pPr>
    </w:p>
    <w:sectPr w:rsidSect="006C5A96">
      <w:headerReference w:type="even" r:id="rId15"/>
      <w:headerReference w:type="default" r:id="rId16"/>
      <w:footerReference w:type="even" r:id="rId17"/>
      <w:footerReference w:type="default" r:id="rId18"/>
      <w:headerReference w:type="first" r:id="rId19"/>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469C8BE"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07ABFD6"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53E47373" w14:textId="77777777">
      <w:r>
        <w:separator/>
      </w:r>
    </w:p>
  </w:footnote>
  <w:footnote w:type="continuationSeparator" w:id="1">
    <w:p w:rsidR="004D3A6A" w:rsidP="00ED54E0" w14:paraId="43C844CA" w14:textId="77777777">
      <w:r>
        <w:continuationSeparator/>
      </w:r>
    </w:p>
  </w:footnote>
  <w:footnote w:id="2">
    <w:p w:rsidR="007F6EA2" w14:paraId="0DFC0C1F"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94D1FD3"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7ECAB6FE" w14:textId="77777777">
    <w:pPr>
      <w:pStyle w:val="Header"/>
      <w:pBdr>
        <w:bottom w:val="single" w:sz="4" w:space="1" w:color="auto"/>
      </w:pBdr>
      <w:tabs>
        <w:tab w:val="clear" w:pos="4513"/>
        <w:tab w:val="clear" w:pos="9027"/>
      </w:tabs>
      <w:jc w:val="center"/>
    </w:pPr>
  </w:p>
  <w:p w:rsidR="00DD3DD7" w:rsidRPr="00DD3DD7" w:rsidP="00DD3DD7" w14:paraId="41DB35AB"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1A6C3A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D36F158" w14:textId="77777777">
    <w:pPr>
      <w:pStyle w:val="Header"/>
      <w:pBdr>
        <w:bottom w:val="single" w:sz="4" w:space="1" w:color="auto"/>
      </w:pBdr>
      <w:tabs>
        <w:tab w:val="clear" w:pos="4513"/>
        <w:tab w:val="clear" w:pos="9027"/>
      </w:tabs>
      <w:jc w:val="center"/>
    </w:pPr>
    <w:bookmarkStart w:id="3" w:name="spsSymbolHeader"/>
    <w:r w:rsidRPr="00DD3DD7">
      <w:t>G/TBT/N/USA/2123/Rev.1/Add.5</w:t>
    </w:r>
    <w:bookmarkEnd w:id="3"/>
  </w:p>
  <w:p w:rsidR="00DD3DD7" w:rsidRPr="00DD3DD7" w:rsidP="00DD3DD7" w14:paraId="0FD569EE" w14:textId="77777777">
    <w:pPr>
      <w:pStyle w:val="Header"/>
      <w:pBdr>
        <w:bottom w:val="single" w:sz="4" w:space="1" w:color="auto"/>
      </w:pBdr>
      <w:tabs>
        <w:tab w:val="clear" w:pos="4513"/>
        <w:tab w:val="clear" w:pos="9027"/>
      </w:tabs>
      <w:jc w:val="center"/>
    </w:pPr>
  </w:p>
  <w:p w:rsidR="00DD3DD7" w:rsidRPr="00DD3DD7" w:rsidP="00DD3DD7" w14:paraId="094D8257"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7D8E03E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0F5483E"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ED76B15"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4933BD63" w14:textId="77777777">
          <w:pPr>
            <w:jc w:val="right"/>
            <w:rPr>
              <w:b/>
              <w:color w:val="FF0000"/>
              <w:szCs w:val="16"/>
            </w:rPr>
          </w:pPr>
          <w:r>
            <w:rPr>
              <w:b/>
              <w:color w:val="FF0000"/>
              <w:szCs w:val="16"/>
            </w:rPr>
            <w:t xml:space="preserve"> </w:t>
          </w:r>
        </w:p>
      </w:tc>
    </w:tr>
    <w:tr w14:paraId="6941AACF"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CE16517"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DEFF2C8" w14:textId="77777777">
          <w:pPr>
            <w:jc w:val="right"/>
            <w:rPr>
              <w:b/>
              <w:szCs w:val="16"/>
            </w:rPr>
          </w:pPr>
        </w:p>
      </w:tc>
    </w:tr>
    <w:tr w14:paraId="1CEFC04D"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742C455"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772B164" w14:textId="77777777">
          <w:pPr>
            <w:jc w:val="right"/>
            <w:rPr>
              <w:rFonts w:eastAsia="Calibri" w:cs="Times New Roman"/>
              <w:b/>
              <w:szCs w:val="16"/>
            </w:rPr>
          </w:pPr>
          <w:bookmarkStart w:id="4" w:name="bmkSymbols"/>
          <w:r w:rsidRPr="002F663C">
            <w:rPr>
              <w:rFonts w:eastAsia="Calibri" w:cs="Times New Roman"/>
              <w:b/>
              <w:szCs w:val="16"/>
            </w:rPr>
            <w:t>G/TBT/N/USA/2123/Rev.1/Add.5</w:t>
          </w:r>
          <w:bookmarkEnd w:id="4"/>
        </w:p>
        <w:p w:rsidR="00C14444" w:rsidRPr="00C14444" w:rsidP="00C14444" w14:paraId="060C323B" w14:textId="77777777">
          <w:pPr>
            <w:jc w:val="center"/>
            <w:rPr>
              <w:szCs w:val="16"/>
            </w:rPr>
          </w:pPr>
        </w:p>
      </w:tc>
    </w:tr>
    <w:tr w14:paraId="298C6AF9"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4B10CA9" w14:textId="77777777"/>
      </w:tc>
      <w:tc>
        <w:tcPr>
          <w:tcW w:w="5448" w:type="dxa"/>
          <w:gridSpan w:val="2"/>
          <w:shd w:val="clear" w:color="auto" w:fill="FFFFFF"/>
          <w:tcMar>
            <w:left w:w="108" w:type="dxa"/>
            <w:right w:w="108" w:type="dxa"/>
          </w:tcMar>
          <w:vAlign w:val="center"/>
        </w:tcPr>
        <w:p w:rsidR="00ED54E0" w:rsidRPr="00182B84" w:rsidP="00425DC5" w14:paraId="073F7C33" w14:textId="77777777">
          <w:pPr>
            <w:jc w:val="right"/>
            <w:rPr>
              <w:szCs w:val="16"/>
            </w:rPr>
          </w:pPr>
          <w:bookmarkStart w:id="5" w:name="bmkDate"/>
          <w:r w:rsidRPr="00182B84">
            <w:rPr>
              <w:szCs w:val="16"/>
            </w:rPr>
            <w:t>23 May 2025</w:t>
          </w:r>
          <w:bookmarkEnd w:id="5"/>
        </w:p>
      </w:tc>
    </w:tr>
    <w:tr w14:paraId="7F981A79"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AF0A003" w14:textId="77777777">
          <w:pPr>
            <w:jc w:val="left"/>
            <w:rPr>
              <w:b/>
            </w:rPr>
          </w:pPr>
          <w:bookmarkStart w:id="6" w:name="bmkSerial"/>
          <w:r>
            <w:rPr>
              <w:b w:val="0"/>
              <w:color w:val="FF0000"/>
            </w:rPr>
            <w:t>(25-3463)</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C37467E"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2D86AB5"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93C97D6"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499943A"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382827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89866865">
    <w:abstractNumId w:val="9"/>
  </w:num>
  <w:num w:numId="2" w16cid:durableId="881864559">
    <w:abstractNumId w:val="7"/>
  </w:num>
  <w:num w:numId="3" w16cid:durableId="1913196165">
    <w:abstractNumId w:val="6"/>
  </w:num>
  <w:num w:numId="4" w16cid:durableId="2056464623">
    <w:abstractNumId w:val="5"/>
  </w:num>
  <w:num w:numId="5" w16cid:durableId="168716910">
    <w:abstractNumId w:val="4"/>
  </w:num>
  <w:num w:numId="6" w16cid:durableId="1776050075">
    <w:abstractNumId w:val="12"/>
  </w:num>
  <w:num w:numId="7" w16cid:durableId="1650744861">
    <w:abstractNumId w:val="11"/>
  </w:num>
  <w:num w:numId="8" w16cid:durableId="1668441055">
    <w:abstractNumId w:val="10"/>
  </w:num>
  <w:num w:numId="9" w16cid:durableId="18783459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4264407">
    <w:abstractNumId w:val="13"/>
  </w:num>
  <w:num w:numId="11" w16cid:durableId="16388711">
    <w:abstractNumId w:val="8"/>
  </w:num>
  <w:num w:numId="12" w16cid:durableId="969945639">
    <w:abstractNumId w:val="3"/>
  </w:num>
  <w:num w:numId="13" w16cid:durableId="194080284">
    <w:abstractNumId w:val="2"/>
  </w:num>
  <w:num w:numId="14" w16cid:durableId="1145314041">
    <w:abstractNumId w:val="1"/>
  </w:num>
  <w:num w:numId="15" w16cid:durableId="514611625">
    <w:abstractNumId w:val="0"/>
  </w:num>
  <w:num w:numId="16" w16cid:durableId="1518419371">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12D8"/>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9499D"/>
    <w:rsid w:val="00695317"/>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BF768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B3E15"/>
    <w:rsid w:val="00DC1434"/>
    <w:rsid w:val="00DD3DD7"/>
    <w:rsid w:val="00DD4208"/>
    <w:rsid w:val="00DE1F32"/>
    <w:rsid w:val="00DE50DB"/>
    <w:rsid w:val="00DF085F"/>
    <w:rsid w:val="00DF6AE1"/>
    <w:rsid w:val="00E0707F"/>
    <w:rsid w:val="00E07BFB"/>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492D4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oregon.gov/deq/rulemaking/Pages/CTR2025.aspx" TargetMode="External" /><Relationship Id="rId11" Type="http://schemas.openxmlformats.org/officeDocument/2006/relationships/hyperlink" Target="https://secure.sos.state.or.us/oard/displayDivisionRules.action;JSESSIONID_OARD=m-9Pw-FQ9aiBiZMEHzxjgDD1ppybxuQ4I6EBy8ZfYRV_qaxDn9DD!-2098070722?selectedDivision=6697" TargetMode="External" /><Relationship Id="rId12" Type="http://schemas.openxmlformats.org/officeDocument/2006/relationships/hyperlink" Target="https://www.oregon.gov/deq/aq/Documents/HDOFAQ.pdf" TargetMode="External" /><Relationship Id="rId13" Type="http://schemas.openxmlformats.org/officeDocument/2006/relationships/hyperlink" Target="https://links-1.govdelivery.com/CL0/https:%2F%2Fpublic.govdelivery.com%2Faccounts%2FORDEQ%2Fsubscriber%2Fnew%3Ftopic_id=ORDEQ_41/1/0100019642e0d2ca-2f4bfd8e-880f-4e73-9086-a79b9ae19dc0-000000/e980k4M2PAnl6OJloD7_cpC1jDTYe8oG5fxB4kcdOeE=401" TargetMode="External" /><Relationship Id="rId14" Type="http://schemas.openxmlformats.org/officeDocument/2006/relationships/hyperlink" Target="mailto:Gerik.Kransky@deq.oregon.gov"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settings" Target="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25_03538_00_e.pdf" TargetMode="External" /><Relationship Id="rId8" Type="http://schemas.openxmlformats.org/officeDocument/2006/relationships/hyperlink" Target="https://www.oregon.gov/deq/Pages/index.aspx" TargetMode="External" /><Relationship Id="rId9" Type="http://schemas.openxmlformats.org/officeDocument/2006/relationships/hyperlink" Target="https://www.oregon.gov/deq/aq/Documents/aqACTenfDiscDir.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96F5A085-FF3F-4AD0-BD5E-C97AEB0BB18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561</Words>
  <Characters>3259</Characters>
  <Application>Microsoft Office Word</Application>
  <DocSecurity>0</DocSecurity>
  <Lines>73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2025-05-23T12:16:00Z</dcterms:created>
  <dcterms:modified xsi:type="dcterms:W3CDTF">2025-05-23T12:26:00Z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