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65BE296" w14:textId="77777777">
      <w:pPr>
        <w:pStyle w:val="Title"/>
      </w:pPr>
      <w:r w:rsidRPr="002F663C">
        <w:t>NOTIFICATION</w:t>
      </w:r>
    </w:p>
    <w:p w:rsidR="002F663C" w:rsidRPr="002F663C" w:rsidP="00DD3DD7" w14:paraId="2E10571B" w14:textId="77777777">
      <w:pPr>
        <w:pStyle w:val="Title3"/>
      </w:pPr>
      <w:r w:rsidRPr="002F663C">
        <w:t>Addendum</w:t>
      </w:r>
    </w:p>
    <w:p w:rsidR="002F663C" w:rsidP="001E2E4A" w14:paraId="43EA6CA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14 May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1356B482" w14:textId="77777777">
      <w:pPr>
        <w:rPr>
          <w:rFonts w:eastAsia="Calibri" w:cs="Times New Roman"/>
        </w:rPr>
      </w:pPr>
    </w:p>
    <w:p w:rsidR="002F663C" w:rsidRPr="002F663C" w:rsidP="002F663C" w14:paraId="0057AC68" w14:textId="77777777">
      <w:pPr>
        <w:jc w:val="center"/>
        <w:rPr>
          <w:rFonts w:eastAsia="Calibri" w:cs="Times New Roman"/>
          <w:b/>
        </w:rPr>
      </w:pPr>
      <w:r w:rsidRPr="002F663C">
        <w:rPr>
          <w:rFonts w:eastAsia="Calibri" w:cs="Times New Roman"/>
          <w:b/>
        </w:rPr>
        <w:t>_______________</w:t>
      </w:r>
    </w:p>
    <w:p w:rsidR="002F663C" w:rsidP="002F663C" w14:paraId="3E7DC8B4" w14:textId="77777777">
      <w:pPr>
        <w:rPr>
          <w:rFonts w:eastAsia="Calibri" w:cs="Times New Roman"/>
        </w:rPr>
      </w:pPr>
    </w:p>
    <w:p w:rsidR="00C14444" w:rsidRPr="002F663C" w:rsidP="002F663C" w14:paraId="7A8980B3" w14:textId="77777777">
      <w:pPr>
        <w:rPr>
          <w:rFonts w:eastAsia="Calibri" w:cs="Times New Roman"/>
        </w:rPr>
      </w:pPr>
    </w:p>
    <w:p w:rsidR="002F663C" w:rsidRPr="002F663C" w:rsidP="002F663C" w14:paraId="081B3D0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Perfluoroalkyl and Polyfluoroalkyl Substances (PFAS) Data Reporting and Recordkeeping Under the Toxic Substances Control Act (TSCA); Change to Submission Period</w:t>
      </w:r>
    </w:p>
    <w:p w:rsidR="002F663C" w:rsidRPr="002F663C" w:rsidP="002F663C" w14:paraId="1801F677"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366A1A0"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1E58E56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42D2E31" w14:textId="77777777" w:rsidTr="00E9471B">
        <w:tblPrEx>
          <w:tblW w:w="9049" w:type="dxa"/>
          <w:tblLayout w:type="fixed"/>
          <w:tblLook w:val="04A0"/>
        </w:tblPrEx>
        <w:tc>
          <w:tcPr>
            <w:tcW w:w="851" w:type="dxa"/>
            <w:shd w:val="clear" w:color="auto" w:fill="auto"/>
          </w:tcPr>
          <w:p w:rsidR="002F663C" w:rsidRPr="00711F9C" w:rsidP="00C14444" w14:paraId="235349D9"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4D44D1B0"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12 June 2025</w:t>
            </w:r>
          </w:p>
        </w:tc>
      </w:tr>
      <w:tr w14:paraId="21E27990" w14:textId="77777777" w:rsidTr="00E9471B">
        <w:tblPrEx>
          <w:tblW w:w="9049" w:type="dxa"/>
          <w:tblLayout w:type="fixed"/>
          <w:tblLook w:val="04A0"/>
        </w:tblPrEx>
        <w:tc>
          <w:tcPr>
            <w:tcW w:w="851" w:type="dxa"/>
            <w:shd w:val="clear" w:color="auto" w:fill="auto"/>
          </w:tcPr>
          <w:p w:rsidR="002F663C" w:rsidRPr="00711F9C" w:rsidP="00C14444" w14:paraId="3452052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99CDD4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626D0F8" w14:textId="77777777" w:rsidTr="00E9471B">
        <w:tblPrEx>
          <w:tblW w:w="9049" w:type="dxa"/>
          <w:tblLayout w:type="fixed"/>
          <w:tblLook w:val="04A0"/>
        </w:tblPrEx>
        <w:tc>
          <w:tcPr>
            <w:tcW w:w="851" w:type="dxa"/>
            <w:shd w:val="clear" w:color="auto" w:fill="auto"/>
          </w:tcPr>
          <w:p w:rsidR="002F663C" w:rsidRPr="00711F9C" w:rsidP="00C14444" w14:paraId="085E51B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570DEF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4005EC7" w14:textId="77777777" w:rsidTr="00E9471B">
        <w:tblPrEx>
          <w:tblW w:w="9049" w:type="dxa"/>
          <w:tblLayout w:type="fixed"/>
          <w:tblLook w:val="04A0"/>
        </w:tblPrEx>
        <w:tc>
          <w:tcPr>
            <w:tcW w:w="851" w:type="dxa"/>
            <w:shd w:val="clear" w:color="auto" w:fill="auto"/>
          </w:tcPr>
          <w:p w:rsidR="002F663C" w:rsidRPr="00711F9C" w:rsidP="00C14444" w14:paraId="4A2BA41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743EDA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0B2B86D" w14:textId="77777777" w:rsidTr="00E9471B">
        <w:tblPrEx>
          <w:tblW w:w="9049" w:type="dxa"/>
          <w:tblLayout w:type="fixed"/>
          <w:tblLook w:val="04A0"/>
        </w:tblPrEx>
        <w:tc>
          <w:tcPr>
            <w:tcW w:w="851" w:type="dxa"/>
            <w:shd w:val="clear" w:color="auto" w:fill="auto"/>
          </w:tcPr>
          <w:p w:rsidR="002F663C" w:rsidRPr="00711F9C" w:rsidP="00C14444" w14:paraId="2D40ECF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ECF45BA"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491E4DD" w14:textId="77777777" w:rsidTr="00E9471B">
        <w:tblPrEx>
          <w:tblW w:w="9049" w:type="dxa"/>
          <w:tblLayout w:type="fixed"/>
          <w:tblLook w:val="04A0"/>
        </w:tblPrEx>
        <w:tc>
          <w:tcPr>
            <w:tcW w:w="851" w:type="dxa"/>
            <w:shd w:val="clear" w:color="auto" w:fill="auto"/>
          </w:tcPr>
          <w:p w:rsidR="002F663C" w:rsidRPr="00711F9C" w:rsidP="00C14444" w14:paraId="435A0EDB"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0F8B88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0CD06F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7AE38FB" w14:textId="77777777" w:rsidTr="00E9471B">
        <w:tblPrEx>
          <w:tblW w:w="9049" w:type="dxa"/>
          <w:tblLayout w:type="fixed"/>
          <w:tblLook w:val="04A0"/>
        </w:tblPrEx>
        <w:tc>
          <w:tcPr>
            <w:tcW w:w="851" w:type="dxa"/>
            <w:shd w:val="clear" w:color="auto" w:fill="auto"/>
          </w:tcPr>
          <w:p w:rsidR="002F663C" w:rsidRPr="00711F9C" w:rsidP="00C14444" w14:paraId="0C05BAAB"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2D6F76E"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BDF117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4FB1363" w14:textId="77777777" w:rsidTr="00E9471B">
        <w:tblPrEx>
          <w:tblW w:w="9049" w:type="dxa"/>
          <w:tblLayout w:type="fixed"/>
          <w:tblLook w:val="04A0"/>
        </w:tblPrEx>
        <w:tc>
          <w:tcPr>
            <w:tcW w:w="851" w:type="dxa"/>
            <w:shd w:val="clear" w:color="auto" w:fill="auto"/>
          </w:tcPr>
          <w:p w:rsidR="002F663C" w:rsidRPr="00711F9C" w:rsidP="00C14444" w14:paraId="51CCCFD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394E896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2D944D5"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7F2368F2"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0C7DFDA9"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5878E5AE" w14:textId="77777777">
            <w:pPr>
              <w:spacing w:before="120" w:after="120"/>
              <w:rPr>
                <w:rFonts w:eastAsia="Calibri" w:cs="Times New Roman"/>
              </w:rPr>
            </w:pPr>
            <w:r>
              <w:rPr>
                <w:rFonts w:eastAsia="Calibri" w:cs="Times New Roman"/>
              </w:rPr>
              <w:t>Interim final rule; request for comment by 12 June 2025</w:t>
            </w:r>
          </w:p>
          <w:p w:rsidR="00467A46" w:rsidP="00EB7B40" w14:paraId="31102146"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https://members.wto.org/crnattachments/2025/TBT/USA/25_03335_00_e.pdf</w:t>
              </w:r>
            </w:hyperlink>
          </w:p>
        </w:tc>
      </w:tr>
      <w:bookmarkEnd w:id="0"/>
    </w:tbl>
    <w:p w:rsidR="002F663C" w:rsidRPr="002F663C" w:rsidP="002F663C" w14:paraId="74328760" w14:textId="77777777">
      <w:pPr>
        <w:jc w:val="left"/>
        <w:rPr>
          <w:rFonts w:eastAsia="Calibri" w:cs="Times New Roman"/>
          <w:highlight w:val="yellow"/>
        </w:rPr>
      </w:pPr>
    </w:p>
    <w:p w:rsidR="003971FF" w:rsidRPr="007F6EA2" w:rsidP="00B16ACF" w14:paraId="5180729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Environmental Protection Agency (EPA or Agency) is amending the data submission period for the Toxic Substances Control Act (</w:t>
      </w:r>
      <w:hyperlink r:id="rId8" w:history="1">
        <w:r w:rsidRPr="002F663C">
          <w:rPr>
            <w:rFonts w:eastAsia="Calibri" w:cs="Times New Roman"/>
            <w:color w:val="0000FF"/>
            <w:szCs w:val="18"/>
            <w:u w:val="single"/>
          </w:rPr>
          <w:t>TSCA</w:t>
        </w:r>
      </w:hyperlink>
      <w:r w:rsidRPr="002F663C">
        <w:rPr>
          <w:rFonts w:eastAsia="Calibri" w:cs="Times New Roman"/>
          <w:szCs w:val="18"/>
        </w:rPr>
        <w:t>) PFAS reporting rule by changing the start date for submissions and making corresponding changes to the end dates for the submission period, i.e., the data submission period begins on 13 April 2026, and ends on 13 October 2026, with an alternate end date for small manufacturers reporting exclusively as article importers of 13 April 2027. As promulgated in October 2023, the regulation requires manufacturers (including importers) of perfluoroalkyl and polyfluoroalkyl substances (</w:t>
      </w:r>
      <w:hyperlink r:id="rId9" w:history="1">
        <w:r w:rsidRPr="002F663C">
          <w:rPr>
            <w:rFonts w:eastAsia="Calibri" w:cs="Times New Roman"/>
            <w:color w:val="0000FF"/>
            <w:szCs w:val="18"/>
            <w:u w:val="single"/>
          </w:rPr>
          <w:t>PFAS</w:t>
        </w:r>
      </w:hyperlink>
      <w:r w:rsidRPr="002F663C">
        <w:rPr>
          <w:rFonts w:eastAsia="Calibri" w:cs="Times New Roman"/>
          <w:szCs w:val="18"/>
        </w:rPr>
        <w:t xml:space="preserve">) in any year between 2011-2022 to report certain data to EPA related to exposure and environmental and health effects. This change is necessary because EPA requires more time to prepare the reporting application to collect this data. The Agency is separately considering reopening certain aspects of the rule to public comment. The </w:t>
      </w:r>
      <w:r w:rsidRPr="002F663C">
        <w:rPr>
          <w:rFonts w:eastAsia="Calibri" w:cs="Times New Roman"/>
          <w:szCs w:val="18"/>
        </w:rPr>
        <w:t>delayed reporting date ensures that EPA has adequate time to consider the public comments and propose and finalize any modifications to the rule before the submission period begin</w:t>
      </w:r>
      <w:r w:rsidRPr="002F663C">
        <w:rPr>
          <w:rFonts w:eastAsia="Calibri" w:cs="Times New Roman"/>
          <w:szCs w:val="18"/>
        </w:rPr>
        <w:t>s.</w:t>
      </w:r>
    </w:p>
    <w:p w:rsidR="00AD1769" w:rsidRPr="002F663C" w:rsidP="00B16ACF" w14:paraId="47B83F41" w14:textId="77777777">
      <w:pPr>
        <w:spacing w:before="120" w:after="120"/>
        <w:rPr>
          <w:rFonts w:eastAsia="Calibri" w:cs="Times New Roman"/>
          <w:szCs w:val="18"/>
        </w:rPr>
      </w:pPr>
      <w:r w:rsidRPr="002F663C">
        <w:rPr>
          <w:rFonts w:eastAsia="Calibri" w:cs="Times New Roman"/>
          <w:szCs w:val="18"/>
        </w:rPr>
        <w:t>This interim final rule is effective on 13 May 2025. Comments must be received on or before 12 June 2025.</w:t>
      </w:r>
    </w:p>
    <w:p w:rsidR="00AD1769" w:rsidRPr="002F663C" w:rsidP="00B16ACF" w14:paraId="025F6FE4" w14:textId="77777777">
      <w:pPr>
        <w:spacing w:before="120" w:after="120"/>
        <w:rPr>
          <w:rFonts w:eastAsia="Calibri" w:cs="Times New Roman"/>
          <w:szCs w:val="18"/>
        </w:rPr>
      </w:pPr>
      <w:r w:rsidRPr="002F663C">
        <w:rPr>
          <w:rFonts w:eastAsia="Calibri" w:cs="Times New Roman"/>
          <w:szCs w:val="18"/>
        </w:rPr>
        <w:t xml:space="preserve">90 Federal Register (FR) 20236, 13 May 2025; </w:t>
      </w:r>
      <w:hyperlink r:id="rId10" w:history="1">
        <w:r w:rsidRPr="002F663C">
          <w:rPr>
            <w:rFonts w:eastAsia="Calibri" w:cs="Times New Roman"/>
            <w:color w:val="0000FF"/>
            <w:szCs w:val="18"/>
            <w:u w:val="single"/>
          </w:rPr>
          <w:t>40 Code of Federal Regulations (CFR) Part 705</w:t>
        </w:r>
      </w:hyperlink>
      <w:r w:rsidRPr="002F663C">
        <w:rPr>
          <w:rFonts w:eastAsia="Calibri" w:cs="Times New Roman"/>
          <w:szCs w:val="18"/>
        </w:rPr>
        <w:t>:</w:t>
      </w:r>
    </w:p>
    <w:p w:rsidR="00AD1769" w:rsidRPr="002F663C" w:rsidP="00B16ACF" w14:paraId="2254380D"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https://www.govinfo.gov/content/pkg/FR-2025-05-13/html/2025-08168.htm</w:t>
        </w:r>
      </w:hyperlink>
    </w:p>
    <w:p w:rsidR="00AD1769" w:rsidRPr="002F663C" w:rsidP="00B16ACF" w14:paraId="13F70360"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https://www.govinfo.gov/content/pkg/FR-2025-05-13/pdf/2025-08168.pdf</w:t>
        </w:r>
      </w:hyperlink>
    </w:p>
    <w:p w:rsidR="00AD1769" w:rsidRPr="002F663C" w:rsidP="00B16ACF" w14:paraId="06492A48"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3" w:history="1">
        <w:r w:rsidRPr="002F663C">
          <w:rPr>
            <w:rFonts w:eastAsia="Calibri" w:cs="Times New Roman"/>
            <w:color w:val="0000FF"/>
            <w:szCs w:val="18"/>
            <w:u w:val="single"/>
          </w:rPr>
          <w:t>G/TBT/N/USA/1742</w:t>
        </w:r>
      </w:hyperlink>
      <w:r w:rsidRPr="002F663C">
        <w:rPr>
          <w:rFonts w:eastAsia="Calibri" w:cs="Times New Roman"/>
          <w:szCs w:val="18"/>
        </w:rPr>
        <w:t xml:space="preserve"> are identified by Docket Number EPA-HQ-OPPT-2020-0549. The Docket Folder is available on Regulations.gov at </w:t>
      </w:r>
      <w:hyperlink r:id="rId14" w:history="1">
        <w:r w:rsidRPr="002F663C">
          <w:rPr>
            <w:rFonts w:eastAsia="Calibri" w:cs="Times New Roman"/>
            <w:color w:val="0000FF"/>
            <w:szCs w:val="18"/>
            <w:u w:val="single"/>
          </w:rPr>
          <w:t>https://www.regulations.gov/docket/EPA-HQ-OPPT-2020-0549/document</w:t>
        </w:r>
      </w:hyperlink>
      <w:r w:rsidRPr="002F663C">
        <w:rPr>
          <w:rFonts w:eastAsia="Calibri" w:cs="Times New Roman"/>
          <w:szCs w:val="18"/>
        </w:rPr>
        <w:t xml:space="preserve"> and provides access to primary and supporting documents as well as comments received. Documents are also accessible from </w:t>
      </w:r>
      <w:hyperlink r:id="rId15"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6"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7"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8" w:history="1">
        <w:r w:rsidRPr="002F663C">
          <w:rPr>
            <w:rFonts w:eastAsia="Calibri" w:cs="Times New Roman"/>
            <w:color w:val="0000FF"/>
            <w:szCs w:val="18"/>
            <w:u w:val="single"/>
          </w:rPr>
          <w:t>Eastern Time</w:t>
        </w:r>
      </w:hyperlink>
      <w:r w:rsidRPr="002F663C">
        <w:rPr>
          <w:rFonts w:eastAsia="Calibri" w:cs="Times New Roman"/>
          <w:szCs w:val="18"/>
        </w:rPr>
        <w:t xml:space="preserve"> on 12 June 2025. Comments received by the USA TBT Enquiry Point from WTO Members and their stakeholders will be shared with EPA and will also be submitted to the </w:t>
      </w:r>
      <w:hyperlink r:id="rId14"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3FE7CCAB" w14:textId="77777777">
      <w:pPr>
        <w:jc w:val="center"/>
        <w:rPr>
          <w:b/>
        </w:rPr>
      </w:pPr>
      <w:r w:rsidRPr="003971FF">
        <w:rPr>
          <w:b/>
        </w:rPr>
        <w:t>__________</w:t>
      </w:r>
    </w:p>
    <w:p w:rsidR="004D4D19" w:rsidP="007F38C2" w14:paraId="3AA3A505" w14:textId="77777777">
      <w:pPr>
        <w:jc w:val="center"/>
        <w:rPr>
          <w:b/>
        </w:rPr>
      </w:pPr>
    </w:p>
    <w:p w:rsidR="00A1565D" w:rsidP="003971FF" w14:paraId="32FE960C"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708194A"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4E157AF"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F40CFC7" w14:textId="77777777">
      <w:r>
        <w:separator/>
      </w:r>
    </w:p>
  </w:footnote>
  <w:footnote w:type="continuationSeparator" w:id="1">
    <w:p w:rsidR="004D3A6A" w:rsidP="00ED54E0" w14:paraId="5203E1AB" w14:textId="77777777">
      <w:r>
        <w:continuationSeparator/>
      </w:r>
    </w:p>
  </w:footnote>
  <w:footnote w:id="2">
    <w:p w:rsidR="007F6EA2" w14:paraId="6321149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49F7BB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5591522" w14:textId="77777777">
    <w:pPr>
      <w:pStyle w:val="Header"/>
      <w:pBdr>
        <w:bottom w:val="single" w:sz="4" w:space="1" w:color="auto"/>
      </w:pBdr>
      <w:tabs>
        <w:tab w:val="clear" w:pos="4513"/>
        <w:tab w:val="clear" w:pos="9027"/>
      </w:tabs>
      <w:jc w:val="center"/>
    </w:pPr>
  </w:p>
  <w:p w:rsidR="00DD3DD7" w:rsidRPr="00DD3DD7" w:rsidP="00DD3DD7" w14:paraId="758C9F6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ECC1B8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8742844" w14:textId="77777777">
    <w:pPr>
      <w:pStyle w:val="Header"/>
      <w:pBdr>
        <w:bottom w:val="single" w:sz="4" w:space="1" w:color="auto"/>
      </w:pBdr>
      <w:tabs>
        <w:tab w:val="clear" w:pos="4513"/>
        <w:tab w:val="clear" w:pos="9027"/>
      </w:tabs>
      <w:jc w:val="center"/>
    </w:pPr>
    <w:bookmarkStart w:id="3" w:name="spsSymbolHeader"/>
    <w:r w:rsidRPr="00DD3DD7">
      <w:t>G/TBT/N/USA/1742/Rev.1/Add.1</w:t>
    </w:r>
    <w:bookmarkEnd w:id="3"/>
  </w:p>
  <w:p w:rsidR="00DD3DD7" w:rsidRPr="00DD3DD7" w:rsidP="00DD3DD7" w14:paraId="6B395C24" w14:textId="77777777">
    <w:pPr>
      <w:pStyle w:val="Header"/>
      <w:pBdr>
        <w:bottom w:val="single" w:sz="4" w:space="1" w:color="auto"/>
      </w:pBdr>
      <w:tabs>
        <w:tab w:val="clear" w:pos="4513"/>
        <w:tab w:val="clear" w:pos="9027"/>
      </w:tabs>
      <w:jc w:val="center"/>
    </w:pPr>
  </w:p>
  <w:p w:rsidR="00DD3DD7" w:rsidRPr="00DD3DD7" w:rsidP="00DD3DD7" w14:paraId="1290CE1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83DEE6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903C9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0C7647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C66F34B" w14:textId="77777777">
          <w:pPr>
            <w:jc w:val="right"/>
            <w:rPr>
              <w:b/>
              <w:color w:val="FF0000"/>
              <w:szCs w:val="16"/>
            </w:rPr>
          </w:pPr>
          <w:r>
            <w:rPr>
              <w:b/>
              <w:color w:val="FF0000"/>
              <w:szCs w:val="16"/>
            </w:rPr>
            <w:t xml:space="preserve"> </w:t>
          </w:r>
        </w:p>
      </w:tc>
    </w:tr>
    <w:tr w14:paraId="7862376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C715D7A"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41BC505" w14:textId="77777777">
          <w:pPr>
            <w:jc w:val="right"/>
            <w:rPr>
              <w:b/>
              <w:szCs w:val="16"/>
            </w:rPr>
          </w:pPr>
        </w:p>
      </w:tc>
    </w:tr>
    <w:tr w14:paraId="37749E7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AF3EAB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A806432" w14:textId="77777777">
          <w:pPr>
            <w:jc w:val="right"/>
            <w:rPr>
              <w:rFonts w:eastAsia="Calibri" w:cs="Times New Roman"/>
              <w:b/>
              <w:szCs w:val="16"/>
            </w:rPr>
          </w:pPr>
          <w:bookmarkStart w:id="4" w:name="bmkSymbols"/>
          <w:r w:rsidRPr="002F663C">
            <w:rPr>
              <w:rFonts w:eastAsia="Calibri" w:cs="Times New Roman"/>
              <w:b/>
              <w:szCs w:val="16"/>
            </w:rPr>
            <w:t>G/TBT/N/USA/1742/Rev.1/Add.1</w:t>
          </w:r>
          <w:bookmarkEnd w:id="4"/>
        </w:p>
        <w:p w:rsidR="00C14444" w:rsidRPr="00C14444" w:rsidP="00C14444" w14:paraId="1A90936E" w14:textId="77777777">
          <w:pPr>
            <w:jc w:val="center"/>
            <w:rPr>
              <w:szCs w:val="16"/>
            </w:rPr>
          </w:pPr>
        </w:p>
      </w:tc>
    </w:tr>
    <w:tr w14:paraId="2031317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FEFAA86" w14:textId="77777777"/>
      </w:tc>
      <w:tc>
        <w:tcPr>
          <w:tcW w:w="5448" w:type="dxa"/>
          <w:gridSpan w:val="2"/>
          <w:shd w:val="clear" w:color="auto" w:fill="FFFFFF"/>
          <w:tcMar>
            <w:left w:w="108" w:type="dxa"/>
            <w:right w:w="108" w:type="dxa"/>
          </w:tcMar>
          <w:vAlign w:val="center"/>
        </w:tcPr>
        <w:p w:rsidR="00ED54E0" w:rsidRPr="00182B84" w:rsidP="00425DC5" w14:paraId="786D9D1C" w14:textId="77777777">
          <w:pPr>
            <w:jc w:val="right"/>
            <w:rPr>
              <w:szCs w:val="16"/>
            </w:rPr>
          </w:pPr>
          <w:bookmarkStart w:id="5" w:name="bmkDate"/>
          <w:r w:rsidRPr="00182B84">
            <w:rPr>
              <w:szCs w:val="16"/>
            </w:rPr>
            <w:t>14 May 2025</w:t>
          </w:r>
          <w:bookmarkEnd w:id="5"/>
        </w:p>
      </w:tc>
    </w:tr>
    <w:tr w14:paraId="1893739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A4434B2" w14:textId="77777777">
          <w:pPr>
            <w:jc w:val="left"/>
            <w:rPr>
              <w:b/>
            </w:rPr>
          </w:pPr>
          <w:bookmarkStart w:id="6" w:name="bmkSerial"/>
          <w:r>
            <w:rPr>
              <w:b w:val="0"/>
              <w:color w:val="FF0000"/>
            </w:rPr>
            <w:t>(25-3237)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5A6518D"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B73033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BC6AB9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FB0C499"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64F227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16749780">
    <w:abstractNumId w:val="9"/>
  </w:num>
  <w:num w:numId="2" w16cid:durableId="563218714">
    <w:abstractNumId w:val="7"/>
  </w:num>
  <w:num w:numId="3" w16cid:durableId="1267729791">
    <w:abstractNumId w:val="6"/>
  </w:num>
  <w:num w:numId="4" w16cid:durableId="1729373846">
    <w:abstractNumId w:val="5"/>
  </w:num>
  <w:num w:numId="5" w16cid:durableId="377239956">
    <w:abstractNumId w:val="4"/>
  </w:num>
  <w:num w:numId="6" w16cid:durableId="1756973663">
    <w:abstractNumId w:val="12"/>
  </w:num>
  <w:num w:numId="7" w16cid:durableId="843083034">
    <w:abstractNumId w:val="11"/>
  </w:num>
  <w:num w:numId="8" w16cid:durableId="572274406">
    <w:abstractNumId w:val="10"/>
  </w:num>
  <w:num w:numId="9" w16cid:durableId="1724595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4226723">
    <w:abstractNumId w:val="13"/>
  </w:num>
  <w:num w:numId="11" w16cid:durableId="253126600">
    <w:abstractNumId w:val="8"/>
  </w:num>
  <w:num w:numId="12" w16cid:durableId="1228104462">
    <w:abstractNumId w:val="3"/>
  </w:num>
  <w:num w:numId="13" w16cid:durableId="1828860311">
    <w:abstractNumId w:val="2"/>
  </w:num>
  <w:num w:numId="14" w16cid:durableId="772701231">
    <w:abstractNumId w:val="1"/>
  </w:num>
  <w:num w:numId="15" w16cid:durableId="1172141077">
    <w:abstractNumId w:val="0"/>
  </w:num>
  <w:num w:numId="16" w16cid:durableId="205233812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E1E01"/>
    <w:rsid w:val="004F203A"/>
    <w:rsid w:val="005336B8"/>
    <w:rsid w:val="00540579"/>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009C"/>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E337F"/>
    <w:rsid w:val="009F7637"/>
    <w:rsid w:val="00A001F6"/>
    <w:rsid w:val="00A1565D"/>
    <w:rsid w:val="00A20371"/>
    <w:rsid w:val="00A372AC"/>
    <w:rsid w:val="00A43C3A"/>
    <w:rsid w:val="00A6057A"/>
    <w:rsid w:val="00A72245"/>
    <w:rsid w:val="00A74017"/>
    <w:rsid w:val="00AA332C"/>
    <w:rsid w:val="00AA6B9C"/>
    <w:rsid w:val="00AB3D96"/>
    <w:rsid w:val="00AC27F8"/>
    <w:rsid w:val="00AD1769"/>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5C07"/>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0ADE0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0/chapter-I/subchapter-R/part-705" TargetMode="External" /><Relationship Id="rId11" Type="http://schemas.openxmlformats.org/officeDocument/2006/relationships/hyperlink" Target="https://www.govinfo.gov/content/pkg/FR-2025-05-13/html/2025-08168.htm" TargetMode="External" /><Relationship Id="rId12" Type="http://schemas.openxmlformats.org/officeDocument/2006/relationships/hyperlink" Target="https://www.govinfo.gov/content/pkg/FR-2025-05-13/pdf/2025-08168.pdf" TargetMode="External" /><Relationship Id="rId13" Type="http://schemas.openxmlformats.org/officeDocument/2006/relationships/hyperlink" Target="https://eping.wto.org/en/Search?documentSymbol=usa%2F1742" TargetMode="External" /><Relationship Id="rId14" Type="http://schemas.openxmlformats.org/officeDocument/2006/relationships/hyperlink" Target="https://www.regulations.gov/docket/EPA-HQ-OPPT-2020-0549/document" TargetMode="External" /><Relationship Id="rId15" Type="http://schemas.openxmlformats.org/officeDocument/2006/relationships/hyperlink" Target="http://www.regulations.gov" TargetMode="External" /><Relationship Id="rId16" Type="http://schemas.openxmlformats.org/officeDocument/2006/relationships/hyperlink" Target="mailto:usatbtep@nist.gov" TargetMode="External" /><Relationship Id="rId17" Type="http://schemas.openxmlformats.org/officeDocument/2006/relationships/hyperlink" Target="http://time-time.net/times/time-zones/usa-canada/current-eastern-time-est.php" TargetMode="External" /><Relationship Id="rId18" Type="http://schemas.openxmlformats.org/officeDocument/2006/relationships/hyperlink" Target="https://24timezones.com/time-zone/et"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25_03335_00_e.pdf" TargetMode="External" /><Relationship Id="rId8" Type="http://schemas.openxmlformats.org/officeDocument/2006/relationships/hyperlink" Target="https://www.epa.gov/laws-regulations/summary-toxic-substances-control-act" TargetMode="External" /><Relationship Id="rId9" Type="http://schemas.openxmlformats.org/officeDocument/2006/relationships/hyperlink" Target="https://www.epa.gov/pfas"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45B54FDE-38DC-43E5-BFBF-64DB1B6BB5B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467</Words>
  <Characters>2778</Characters>
  <Application>Microsoft Office Word</Application>
  <DocSecurity>0</DocSecurity>
  <Lines>63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2025-05-14T08:25:00Z</dcterms:created>
  <dcterms:modified xsi:type="dcterms:W3CDTF">2025-05-14T08:38:00Z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