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12417699" w14:textId="77777777">
      <w:pPr>
        <w:pStyle w:val="Title"/>
        <w:rPr>
          <w:caps w:val="0"/>
          <w:kern w:val="0"/>
        </w:rPr>
      </w:pPr>
      <w:r w:rsidRPr="009D7E91">
        <w:rPr>
          <w:caps w:val="0"/>
          <w:kern w:val="0"/>
        </w:rPr>
        <w:t>NOTIFICATION</w:t>
      </w:r>
    </w:p>
    <w:p w:rsidR="00D67386" w:rsidRPr="009D7E91" w:rsidP="009D7E91" w14:paraId="746F7C82" w14:textId="77777777">
      <w:pPr>
        <w:jc w:val="center"/>
      </w:pPr>
      <w:r w:rsidRPr="009D7E91">
        <w:t>La notification suivante est communiquée conformément à l'article 10.6.</w:t>
      </w:r>
    </w:p>
    <w:p w:rsidR="00D67386" w:rsidRPr="009D7E91" w:rsidP="009D7E91" w14:paraId="7408788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5C720F8"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0404525F"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34D8C813"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7B805844" w14:textId="77777777">
            <w:pPr>
              <w:spacing w:after="120"/>
            </w:pPr>
            <w:r w:rsidRPr="009D7E91">
              <w:rPr>
                <w:b/>
              </w:rPr>
              <w:t>Le cas échéant, pouvoirs publics locaux concernés (articles 3.2 et 7.2):</w:t>
            </w:r>
            <w:r w:rsidRPr="009D7E91" w:rsidR="006F55D1">
              <w:t xml:space="preserve"> </w:t>
            </w:r>
          </w:p>
        </w:tc>
      </w:tr>
      <w:tr w14:paraId="200FC4C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3486BBD"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4C59FA7D" w14:textId="77777777">
            <w:pPr>
              <w:spacing w:before="120" w:after="120"/>
              <w:rPr>
                <w:bCs/>
              </w:rPr>
            </w:pPr>
            <w:r w:rsidRPr="009D7E91">
              <w:rPr>
                <w:b/>
              </w:rPr>
              <w:t>Organisme responsable:</w:t>
            </w:r>
            <w:r w:rsidRPr="009D7E91" w:rsidR="006F55D1">
              <w:t xml:space="preserve"> </w:t>
            </w:r>
          </w:p>
          <w:p w:rsidR="006F55D1" w:rsidRPr="009D7E91" w:rsidP="006C14E7" w14:paraId="32EB7C88" w14:textId="77777777">
            <w:pPr>
              <w:spacing w:after="120"/>
            </w:pPr>
            <w:r w:rsidRPr="009D7E91">
              <w:t xml:space="preserve">Ministère de </w:t>
            </w:r>
            <w:r w:rsidRPr="009D7E91">
              <w:t>l'Industrie, Commerce et Energie</w:t>
            </w:r>
          </w:p>
          <w:p w:rsidR="008D58AD" w:rsidRPr="009D7E91" w:rsidP="00064E8E" w14:paraId="0F152F32"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3AC05713" w14:textId="77777777">
            <w:r w:rsidRPr="005469C3">
              <w:t>Direção Nacional da Indústria, Comércio e Energia Point d'information sur les OTC</w:t>
            </w:r>
          </w:p>
          <w:p w:rsidR="00CB44EC" w:rsidRPr="005469C3" w:rsidP="00064E8E" w14:paraId="7FD9396F" w14:textId="77777777">
            <w:r w:rsidRPr="005469C3">
              <w:t>Téléphone: +(238) 2604800</w:t>
            </w:r>
          </w:p>
          <w:p w:rsidR="00CB44EC" w:rsidRPr="005469C3" w:rsidP="00064E8E" w14:paraId="4B7D46BE" w14:textId="77777777">
            <w:pPr>
              <w:spacing w:after="120"/>
            </w:pPr>
            <w:r w:rsidRPr="005469C3">
              <w:t xml:space="preserve">Courrier électronique: </w:t>
            </w:r>
            <w:hyperlink r:id="rId4" w:history="1">
              <w:r w:rsidRPr="005469C3">
                <w:rPr>
                  <w:color w:val="0000FF"/>
                  <w:u w:val="single"/>
                </w:rPr>
                <w:t>benvindo.reis@mice.gov.cv</w:t>
              </w:r>
            </w:hyperlink>
            <w:r w:rsidRPr="005469C3">
              <w:t xml:space="preserve"> ou </w:t>
            </w:r>
            <w:hyperlink r:id="rId5" w:history="1">
              <w:r w:rsidRPr="005469C3">
                <w:rPr>
                  <w:color w:val="0000FF"/>
                  <w:u w:val="single"/>
                </w:rPr>
                <w:t>jonica.tavares@mice.gov.cv</w:t>
              </w:r>
            </w:hyperlink>
          </w:p>
        </w:tc>
      </w:tr>
      <w:tr w14:paraId="42CFF27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7FC293C"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3FC6A5B5"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691875D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E956D50"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058F64BE"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Gaz de </w:t>
            </w:r>
            <w:r w:rsidRPr="009D7E91">
              <w:t>pétrole liquéfiés (GPL) (Code(s) du SH : 2711.19)</w:t>
            </w:r>
          </w:p>
        </w:tc>
      </w:tr>
      <w:tr w14:paraId="1D37414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A6E5289"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256134E7" w14:textId="77777777">
            <w:pPr>
              <w:spacing w:before="120" w:after="120"/>
            </w:pPr>
            <w:r w:rsidRPr="009D7E91">
              <w:rPr>
                <w:b/>
              </w:rPr>
              <w:t>Intitulé, nombre de pages et langue(s) du texte notifié:</w:t>
            </w:r>
            <w:r w:rsidRPr="009D7E91" w:rsidR="006F55D1">
              <w:t xml:space="preserve"> </w:t>
            </w:r>
            <w:r w:rsidRPr="009D7E91" w:rsidR="006F55D1">
              <w:rPr>
                <w:i/>
                <w:iCs/>
              </w:rPr>
              <w:t xml:space="preserve">Ordonnance conjointe nº 3/2011 du 17 janvier 2011, approuvant le Règlement de sécurité pour les installations de stockage de GPL (capacité ≤ 200 m³ par récipient) </w:t>
            </w:r>
            <w:r w:rsidRPr="009D7E91" w:rsidR="006F55D1">
              <w:t>; (12 page(s), en portugais)</w:t>
            </w:r>
          </w:p>
        </w:tc>
      </w:tr>
      <w:tr w14:paraId="200DEFB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BD140CC"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55AFCECA" w14:textId="77777777">
            <w:pPr>
              <w:spacing w:before="120" w:after="120"/>
            </w:pPr>
            <w:r w:rsidRPr="009D7E91">
              <w:rPr>
                <w:b/>
              </w:rPr>
              <w:t>Teneur:</w:t>
            </w:r>
            <w:r w:rsidRPr="009D7E91" w:rsidR="006F55D1">
              <w:t xml:space="preserve"> La réglementation fixe les exigences techniques pour le stockage sécurisé des GPL, notamment : </w:t>
            </w:r>
          </w:p>
          <w:p w:rsidR="006F55D1" w:rsidRPr="009D7E91" w:rsidP="009D7E91" w14:paraId="549CFED0" w14:textId="77777777">
            <w:pPr>
              <w:spacing w:before="120" w:after="120"/>
            </w:pPr>
            <w:r w:rsidRPr="009D7E91">
              <w:t>Classification des installations :</w:t>
            </w:r>
          </w:p>
          <w:p w:rsidR="006F55D1" w:rsidRPr="009D7E91" w:rsidP="009D7E91" w14:paraId="25E84CD4" w14:textId="77777777">
            <w:pPr>
              <w:spacing w:before="120" w:after="120"/>
            </w:pPr>
            <w:r w:rsidRPr="009D7E91">
              <w:t>- Postes de bouteilles (≤ 150 dm³) et postes de réservoirs (≤ 200 m³).</w:t>
            </w:r>
          </w:p>
          <w:p w:rsidR="006F55D1" w:rsidRPr="009D7E91" w:rsidP="009D7E91" w14:paraId="5BD81DA2" w14:textId="77777777">
            <w:pPr>
              <w:spacing w:before="120" w:after="120"/>
            </w:pPr>
            <w:r w:rsidRPr="009D7E91">
              <w:t>- Distinction entre réservoirs superficiels, enterrés et recouverts.</w:t>
            </w:r>
          </w:p>
          <w:p w:rsidR="006F55D1" w:rsidRPr="009D7E91" w:rsidP="009D7E91" w14:paraId="0CF5A7AC" w14:textId="77777777">
            <w:pPr>
              <w:spacing w:before="120" w:after="120"/>
            </w:pPr>
            <w:r w:rsidRPr="009D7E91">
              <w:t>Exigences techniques :</w:t>
            </w:r>
          </w:p>
          <w:p w:rsidR="006F55D1" w:rsidRPr="009D7E91" w:rsidP="009D7E91" w14:paraId="472E2077" w14:textId="77777777">
            <w:pPr>
              <w:spacing w:before="120" w:after="120"/>
            </w:pPr>
            <w:r w:rsidRPr="009D7E91">
              <w:t>- Distances de sécurité (voir tableau I de l'annexe) :</w:t>
            </w:r>
          </w:p>
          <w:p w:rsidR="006F55D1" w:rsidRPr="009D7E91" w:rsidP="009D7E91" w14:paraId="4FA04ACC" w14:textId="77777777">
            <w:pPr>
              <w:spacing w:before="120" w:after="120"/>
            </w:pPr>
            <w:r w:rsidRPr="009D7E91">
              <w:t>- 1,5 m minimum des limites de propriété.</w:t>
            </w:r>
          </w:p>
          <w:p w:rsidR="006F55D1" w:rsidRPr="009D7E91" w:rsidP="009D7E91" w14:paraId="53625E95" w14:textId="77777777">
            <w:pPr>
              <w:spacing w:before="120" w:after="120"/>
            </w:pPr>
            <w:r w:rsidRPr="009D7E91">
              <w:t>- 3 à 15 m des sources d'allumition (selon la capacité).</w:t>
            </w:r>
          </w:p>
          <w:p w:rsidR="006F55D1" w:rsidRPr="009D7E91" w:rsidP="009D7E91" w14:paraId="7FD3583C" w14:textId="77777777">
            <w:pPr>
              <w:spacing w:before="120" w:after="120"/>
            </w:pPr>
            <w:r w:rsidRPr="009D7E91">
              <w:t>- Ventilation : Aérations permanentes pour les cabines de bouteilles (≥ 2,5 % de la surface totale).</w:t>
            </w:r>
          </w:p>
          <w:p w:rsidR="006F55D1" w:rsidRPr="009D7E91" w:rsidP="009D7E91" w14:paraId="69ECFB64" w14:textId="77777777">
            <w:pPr>
              <w:spacing w:before="120" w:after="120"/>
            </w:pPr>
            <w:r w:rsidRPr="009D7E91">
              <w:t>- Matériaux : Structures incombustibles (résistance au feu ≥ 120 minutes).</w:t>
            </w:r>
          </w:p>
          <w:p w:rsidR="006F55D1" w:rsidRPr="009D7E91" w:rsidP="009D7E91" w14:paraId="4375266F" w14:textId="77777777">
            <w:pPr>
              <w:spacing w:before="120" w:after="120"/>
            </w:pPr>
            <w:r w:rsidRPr="009D7E91">
              <w:t>Équipements obligatoires :</w:t>
            </w:r>
          </w:p>
          <w:p w:rsidR="006F55D1" w:rsidRPr="009D7E91" w:rsidP="009D7E91" w14:paraId="00505AE0" w14:textId="77777777">
            <w:pPr>
              <w:spacing w:before="120" w:after="120"/>
            </w:pPr>
            <w:r w:rsidRPr="009D7E91">
              <w:t>- Válvulas de sécurité avec tubage vertical (≥ 2 m pour les réservoirs ≥ 7,5 m³).</w:t>
            </w:r>
          </w:p>
          <w:p w:rsidR="006F55D1" w:rsidRPr="009D7E91" w:rsidP="009D7E91" w14:paraId="25BB0218" w14:textId="77777777">
            <w:pPr>
              <w:spacing w:before="120" w:after="120"/>
            </w:pPr>
            <w:r w:rsidRPr="009D7E91">
              <w:t>- Systèmes de détection de gaz et d'incendie.</w:t>
            </w:r>
          </w:p>
          <w:p w:rsidR="006F55D1" w:rsidRPr="009D7E91" w:rsidP="009D7E91" w14:paraId="124C0779" w14:textId="77777777">
            <w:pPr>
              <w:spacing w:before="120" w:after="120"/>
            </w:pPr>
            <w:r w:rsidRPr="009D7E91">
              <w:t>- Extincteurs (poudre ABC 6 kg pour les réservoirs ≥ 2,5 m³).</w:t>
            </w:r>
          </w:p>
          <w:p w:rsidR="006F55D1" w:rsidRPr="009D7E91" w:rsidP="009D7E91" w14:paraId="09C76A07" w14:textId="77777777">
            <w:pPr>
              <w:spacing w:before="120" w:after="120"/>
            </w:pPr>
            <w:r w:rsidRPr="009D7E91">
              <w:t>Interdictions :</w:t>
            </w:r>
          </w:p>
          <w:p w:rsidR="006F55D1" w:rsidRPr="009D7E91" w:rsidP="009D7E91" w14:paraId="423B4371" w14:textId="77777777">
            <w:pPr>
              <w:spacing w:before="120" w:after="120"/>
            </w:pPr>
            <w:r w:rsidRPr="009D7E91">
              <w:t>- Stockage en caves ou zones non ventilées.</w:t>
            </w:r>
          </w:p>
          <w:p w:rsidR="006F55D1" w:rsidRPr="009D7E91" w:rsidP="009D7E91" w14:paraId="76972907" w14:textId="77777777">
            <w:pPr>
              <w:spacing w:before="120" w:after="120"/>
            </w:pPr>
            <w:r w:rsidRPr="009D7E91">
              <w:t>- Utilisation de vaporisateurs à flamme directe.</w:t>
            </w:r>
          </w:p>
        </w:tc>
      </w:tr>
      <w:tr w14:paraId="72A58FB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1B2618D"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435533CA" w14:textId="77777777">
            <w:pPr>
              <w:spacing w:before="120" w:after="120"/>
            </w:pPr>
            <w:r w:rsidRPr="009D7E91">
              <w:rPr>
                <w:b/>
              </w:rPr>
              <w:t>Objectif et justification, y compris la nature des problèmes urgents, le cas échéant:</w:t>
            </w:r>
            <w:r w:rsidRPr="009D7E91">
              <w:t xml:space="preserve"> </w:t>
            </w:r>
            <w:r w:rsidRPr="009D7E91">
              <w:t>- Sécurité publique : Prévenir les risques d'incendie et d'explosion.</w:t>
            </w:r>
          </w:p>
          <w:p w:rsidR="005D7C75" w:rsidRPr="009D7E91" w:rsidP="00305401" w14:paraId="36B0B6DB" w14:textId="77777777">
            <w:pPr>
              <w:spacing w:before="120" w:after="120"/>
            </w:pPr>
            <w:r w:rsidRPr="009D7E91">
              <w:t>- Harmonisation : Alignement sur les normes européennes (ex. EN 1949 pour les GPL).</w:t>
            </w:r>
          </w:p>
          <w:p w:rsidR="005D7C75" w:rsidRPr="009D7E91" w:rsidP="00305401" w14:paraId="3463CDAB" w14:textId="77777777">
            <w:pPr>
              <w:spacing w:before="120" w:after="120"/>
            </w:pPr>
            <w:r w:rsidRPr="009D7E91">
              <w:t>- Environnement : Limiter les fuites et les émissions polluantes.</w:t>
            </w:r>
          </w:p>
          <w:p w:rsidR="005D7C75" w:rsidRPr="009D7E91" w:rsidP="00305401" w14:paraId="73D5F85A" w14:textId="77777777">
            <w:pPr>
              <w:spacing w:before="120" w:after="120"/>
            </w:pPr>
            <w:r w:rsidRPr="009D7E91">
              <w:t>- Période de transition : 5 ans pour la mise en conformité des installations existantes. ; Protection de l'environnement; Harmonisation</w:t>
            </w:r>
          </w:p>
        </w:tc>
      </w:tr>
      <w:tr w14:paraId="23B0667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5487B64D"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756978D1" w14:textId="77777777">
            <w:pPr>
              <w:spacing w:before="120" w:after="120"/>
            </w:pPr>
            <w:r w:rsidRPr="009D7E91">
              <w:rPr>
                <w:b/>
              </w:rPr>
              <w:t>Documents pertinents:</w:t>
            </w:r>
            <w:r w:rsidRPr="009D7E91" w:rsidR="006F55D1">
              <w:t xml:space="preserve"> </w:t>
            </w:r>
          </w:p>
          <w:p w:rsidR="006F55D1" w:rsidRPr="009D7E91" w:rsidP="001348DC" w14:paraId="6A4CE9C0" w14:textId="77777777">
            <w:pPr>
              <w:spacing w:before="120" w:after="120"/>
            </w:pPr>
            <w:hyperlink r:id="rId6" w:history="1">
              <w:r w:rsidRPr="009D7E91">
                <w:rPr>
                  <w:color w:val="0000FF"/>
                  <w:u w:val="single"/>
                </w:rPr>
                <w:t>https://kb-wordpress.gov.cv/kb/portaria-no-3-2011/</w:t>
              </w:r>
            </w:hyperlink>
          </w:p>
        </w:tc>
      </w:tr>
      <w:tr w14:paraId="693151C2"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41576C12"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51D9D903" w14:textId="77777777">
            <w:pPr>
              <w:spacing w:before="120" w:after="120"/>
              <w:ind w:left="34"/>
              <w:rPr>
                <w:bCs/>
              </w:rPr>
            </w:pPr>
            <w:r w:rsidRPr="009D7E91">
              <w:rPr>
                <w:b/>
              </w:rPr>
              <w:t>Date projetée pour l'adoption:</w:t>
            </w:r>
            <w:r w:rsidRPr="009D7E91">
              <w:t xml:space="preserve"> </w:t>
            </w:r>
            <w:r w:rsidRPr="009D7E91">
              <w:t>26 décembre 2005</w:t>
            </w:r>
          </w:p>
          <w:p w:rsidR="006F55D1" w:rsidRPr="009D7E91" w:rsidP="009B0524" w14:paraId="2D672634" w14:textId="77777777">
            <w:pPr>
              <w:spacing w:after="120"/>
              <w:ind w:left="34"/>
              <w:rPr>
                <w:b/>
              </w:rPr>
            </w:pPr>
            <w:r w:rsidRPr="009D7E91">
              <w:rPr>
                <w:b/>
              </w:rPr>
              <w:t>Date projetée pour l'entrée en vigueur:</w:t>
            </w:r>
            <w:r w:rsidRPr="009D7E91">
              <w:t xml:space="preserve"> </w:t>
            </w:r>
            <w:r w:rsidRPr="009D7E91">
              <w:t>26 décembre 2005</w:t>
            </w:r>
          </w:p>
        </w:tc>
      </w:tr>
      <w:tr w14:paraId="2EBDB80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41A7A83"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26DAB0CF" w14:textId="77777777">
            <w:pPr>
              <w:spacing w:before="120" w:after="120"/>
            </w:pPr>
            <w:r w:rsidRPr="009D7E91">
              <w:rPr>
                <w:b/>
              </w:rPr>
              <w:t>Date limite pour la présentation des observations:</w:t>
            </w:r>
            <w:r w:rsidRPr="009D7E91" w:rsidR="006F55D1">
              <w:t xml:space="preserve"> Non applicable; Règlement déjà en vigueur, qui n'a pas été notifié à temps.</w:t>
            </w:r>
          </w:p>
        </w:tc>
      </w:tr>
      <w:tr w14:paraId="73329585"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3F4A0C02"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16BB814B"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325BE88C" w14:textId="77777777">
            <w:pPr>
              <w:keepNext/>
              <w:keepLines/>
            </w:pPr>
            <w:r w:rsidRPr="009D7E91">
              <w:t>Direção Nacional da Indústria, Comércio e Energia Direction du Service de l'Energie ou</w:t>
            </w:r>
          </w:p>
          <w:p w:rsidR="006F55D1" w:rsidRPr="009D7E91" w:rsidP="00481B71" w14:paraId="0AF51595" w14:textId="77777777">
            <w:pPr>
              <w:keepNext/>
              <w:keepLines/>
            </w:pPr>
            <w:r w:rsidRPr="009D7E91">
              <w:t>Point d'information sur les OTC Téléphone: +(238) 2604800</w:t>
            </w:r>
          </w:p>
          <w:p w:rsidR="006F55D1" w:rsidRPr="009D7E91" w:rsidP="00481B71" w14:paraId="7749BCFB" w14:textId="77777777">
            <w:pPr>
              <w:keepNext/>
              <w:keepLines/>
            </w:pPr>
            <w:r w:rsidRPr="009D7E91">
              <w:t xml:space="preserve">Courrier électronique: </w:t>
            </w:r>
            <w:hyperlink r:id="rId4" w:history="1">
              <w:r w:rsidRPr="009D7E91">
                <w:rPr>
                  <w:color w:val="0000FF"/>
                  <w:u w:val="single"/>
                </w:rPr>
                <w:t>benvindo.reis@mice.gov.cv</w:t>
              </w:r>
            </w:hyperlink>
            <w:r w:rsidRPr="009D7E91">
              <w:t xml:space="preserve"> ou </w:t>
            </w:r>
            <w:hyperlink r:id="rId5" w:history="1">
              <w:r w:rsidRPr="009D7E91">
                <w:rPr>
                  <w:color w:val="0000FF"/>
                  <w:u w:val="single"/>
                </w:rPr>
                <w:t>jonica.tavares@mice.gov.cv</w:t>
              </w:r>
            </w:hyperlink>
          </w:p>
          <w:p w:rsidR="006F55D1" w:rsidRPr="009D7E91" w:rsidP="00481B71" w14:paraId="62E3F0CD" w14:textId="77777777">
            <w:pPr>
              <w:keepNext/>
              <w:keepLines/>
            </w:pPr>
            <w:hyperlink r:id="rId6" w:tgtFrame="_blank" w:history="1">
              <w:r w:rsidRPr="009D7E91">
                <w:rPr>
                  <w:color w:val="0000FF"/>
                  <w:u w:val="single"/>
                </w:rPr>
                <w:t>https://kb-wordpress.gov.cv/kb/portaria-no-3-2011/</w:t>
              </w:r>
            </w:hyperlink>
          </w:p>
          <w:p w:rsidR="006F55D1" w:rsidRPr="009D7E91" w:rsidP="00481B71" w14:paraId="5D99DFFB" w14:textId="77777777">
            <w:pPr>
              <w:keepNext/>
              <w:keepLines/>
              <w:pBdr>
                <w:top w:val="none" w:sz="0" w:space="4" w:color="auto"/>
              </w:pBdr>
              <w:spacing w:after="120"/>
            </w:pPr>
            <w:hyperlink r:id="rId7" w:tgtFrame="_blank" w:history="1">
              <w:r w:rsidRPr="009D7E91">
                <w:rPr>
                  <w:color w:val="0000FF"/>
                  <w:u w:val="single"/>
                </w:rPr>
                <w:t>https://members.wto.org/crnattachments/2025/TBT/CPV/25_03189_00_x.pdf</w:t>
              </w:r>
            </w:hyperlink>
          </w:p>
        </w:tc>
      </w:tr>
    </w:tbl>
    <w:p w:rsidR="006F55D1" w:rsidRPr="009D7E91" w:rsidP="009D7E91" w14:paraId="769EFA63"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3542329"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5B113A50"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455E4E0F"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73C8DED" w14:textId="77777777">
    <w:pPr>
      <w:pStyle w:val="Header"/>
      <w:pBdr>
        <w:bottom w:val="single" w:sz="4" w:space="1" w:color="auto"/>
      </w:pBdr>
      <w:tabs>
        <w:tab w:val="clear" w:pos="4513"/>
        <w:tab w:val="clear" w:pos="9027"/>
      </w:tabs>
      <w:jc w:val="center"/>
    </w:pPr>
    <w:r w:rsidRPr="009D7E91">
      <w:t>tbtSymbol</w:t>
    </w:r>
  </w:p>
  <w:p w:rsidR="00D67386" w:rsidRPr="009D7E91" w:rsidP="00D67386" w14:paraId="491DB296" w14:textId="77777777">
    <w:pPr>
      <w:pStyle w:val="Header"/>
      <w:pBdr>
        <w:bottom w:val="single" w:sz="4" w:space="1" w:color="auto"/>
      </w:pBdr>
      <w:tabs>
        <w:tab w:val="clear" w:pos="4513"/>
        <w:tab w:val="clear" w:pos="9027"/>
      </w:tabs>
      <w:jc w:val="center"/>
    </w:pPr>
  </w:p>
  <w:p w:rsidR="00D67386" w:rsidRPr="009D7E91" w:rsidP="00D67386" w14:paraId="1358F724"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570DE0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D0D87CC" w14:textId="77777777">
    <w:pPr>
      <w:pStyle w:val="Header"/>
      <w:pBdr>
        <w:bottom w:val="single" w:sz="4" w:space="1" w:color="auto"/>
      </w:pBdr>
      <w:tabs>
        <w:tab w:val="clear" w:pos="4513"/>
        <w:tab w:val="clear" w:pos="9027"/>
      </w:tabs>
      <w:jc w:val="center"/>
    </w:pPr>
    <w:bookmarkStart w:id="0" w:name="spsSymbolHeader"/>
    <w:r w:rsidRPr="009D7E91">
      <w:t>G/TBT/N/CPV/9</w:t>
    </w:r>
    <w:bookmarkEnd w:id="0"/>
  </w:p>
  <w:p w:rsidR="00D67386" w:rsidRPr="009D7E91" w:rsidP="00D67386" w14:paraId="2B1F61AC" w14:textId="77777777">
    <w:pPr>
      <w:pStyle w:val="Header"/>
      <w:pBdr>
        <w:bottom w:val="single" w:sz="4" w:space="1" w:color="auto"/>
      </w:pBdr>
      <w:tabs>
        <w:tab w:val="clear" w:pos="4513"/>
        <w:tab w:val="clear" w:pos="9027"/>
      </w:tabs>
      <w:jc w:val="center"/>
    </w:pPr>
  </w:p>
  <w:p w:rsidR="00D67386" w:rsidRPr="009D7E91" w:rsidP="00D67386" w14:paraId="6DF2BEAD"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1489DF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D4ACB0"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2203EF93"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0C0A9A78" w14:textId="77777777">
          <w:pPr>
            <w:jc w:val="right"/>
            <w:rPr>
              <w:b/>
              <w:color w:val="FF0000"/>
              <w:szCs w:val="18"/>
            </w:rPr>
          </w:pPr>
        </w:p>
      </w:tc>
    </w:tr>
    <w:bookmarkEnd w:id="1"/>
    <w:tr w14:paraId="52350061"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32F18D2B"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7C16B0E" w14:textId="77777777">
          <w:pPr>
            <w:jc w:val="right"/>
            <w:rPr>
              <w:b/>
              <w:szCs w:val="18"/>
            </w:rPr>
          </w:pPr>
        </w:p>
      </w:tc>
    </w:tr>
    <w:tr w14:paraId="42A624D6"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565C72A9"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33A7AD0A" w14:textId="77777777">
          <w:pPr>
            <w:jc w:val="right"/>
            <w:rPr>
              <w:b/>
              <w:szCs w:val="18"/>
            </w:rPr>
          </w:pPr>
          <w:bookmarkStart w:id="2" w:name="bmkSymbols"/>
          <w:r w:rsidRPr="009D7E91">
            <w:rPr>
              <w:b/>
              <w:szCs w:val="18"/>
            </w:rPr>
            <w:t>G/TBT/N/CPV/9</w:t>
          </w:r>
          <w:bookmarkEnd w:id="2"/>
        </w:p>
      </w:tc>
    </w:tr>
    <w:tr w14:paraId="6854BB22"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ADFF52A"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7CCD3AC6" w14:textId="77777777">
          <w:pPr>
            <w:jc w:val="right"/>
            <w:rPr>
              <w:szCs w:val="18"/>
            </w:rPr>
          </w:pPr>
          <w:bookmarkStart w:id="3" w:name="spsDateDistribution"/>
          <w:bookmarkStart w:id="4" w:name="bmkDate"/>
          <w:r w:rsidRPr="00D82AF6">
            <w:rPr>
              <w:szCs w:val="18"/>
            </w:rPr>
            <w:t>7 mai 2025</w:t>
          </w:r>
          <w:bookmarkEnd w:id="3"/>
          <w:bookmarkEnd w:id="4"/>
        </w:p>
      </w:tc>
    </w:tr>
    <w:tr w14:paraId="4CBF640B"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159BF546" w14:textId="77777777">
          <w:pPr>
            <w:jc w:val="left"/>
            <w:rPr>
              <w:b/>
              <w:szCs w:val="18"/>
            </w:rPr>
          </w:pPr>
          <w:bookmarkStart w:id="5" w:name="bmkSerial"/>
          <w:r>
            <w:rPr>
              <w:b w:val="0"/>
              <w:color w:val="FF0000"/>
            </w:rPr>
            <w:t>(25-3106)</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1B1D43D1"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2367764C"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656DDFE6" w14:textId="77777777">
          <w:pPr>
            <w:jc w:val="left"/>
            <w:rPr>
              <w:szCs w:val="18"/>
            </w:rPr>
          </w:pPr>
          <w:bookmarkStart w:id="7" w:name="bmkCommittee"/>
          <w:r w:rsidRPr="009D7E91">
            <w:rPr>
              <w:b/>
              <w:szCs w:val="18"/>
            </w:rPr>
            <w:t xml:space="preserve">Comité des obstacles </w:t>
          </w:r>
          <w:r w:rsidRPr="009D7E91">
            <w:rPr>
              <w:b/>
              <w:szCs w:val="18"/>
            </w:rPr>
            <w:t>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43335598"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5331FF6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1228341">
    <w:abstractNumId w:val="8"/>
  </w:num>
  <w:num w:numId="2" w16cid:durableId="798180289">
    <w:abstractNumId w:val="3"/>
  </w:num>
  <w:num w:numId="3" w16cid:durableId="443156620">
    <w:abstractNumId w:val="2"/>
  </w:num>
  <w:num w:numId="4" w16cid:durableId="1250581732">
    <w:abstractNumId w:val="1"/>
  </w:num>
  <w:num w:numId="5" w16cid:durableId="964191210">
    <w:abstractNumId w:val="0"/>
  </w:num>
  <w:num w:numId="6" w16cid:durableId="2007518313">
    <w:abstractNumId w:val="13"/>
  </w:num>
  <w:num w:numId="7" w16cid:durableId="1231693784">
    <w:abstractNumId w:val="11"/>
  </w:num>
  <w:num w:numId="8" w16cid:durableId="1080326711">
    <w:abstractNumId w:val="14"/>
  </w:num>
  <w:num w:numId="9" w16cid:durableId="1352217789">
    <w:abstractNumId w:val="10"/>
  </w:num>
  <w:num w:numId="10" w16cid:durableId="398408836">
    <w:abstractNumId w:val="9"/>
  </w:num>
  <w:num w:numId="11" w16cid:durableId="1722244388">
    <w:abstractNumId w:val="7"/>
  </w:num>
  <w:num w:numId="12" w16cid:durableId="176576116">
    <w:abstractNumId w:val="6"/>
  </w:num>
  <w:num w:numId="13" w16cid:durableId="1486311870">
    <w:abstractNumId w:val="5"/>
  </w:num>
  <w:num w:numId="14" w16cid:durableId="427700114">
    <w:abstractNumId w:val="4"/>
  </w:num>
  <w:num w:numId="15" w16cid:durableId="665016436">
    <w:abstractNumId w:val="12"/>
  </w:num>
  <w:num w:numId="16" w16cid:durableId="5282207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D7C7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92723"/>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FA575C"/>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kb-wordpress.gov.cv/kb/portaria-no-3-2011/" TargetMode="External" /><Relationship Id="rId7" Type="http://schemas.openxmlformats.org/officeDocument/2006/relationships/hyperlink" Target="https://members.wto.org/crnattachments/2025/TBT/CPV/25_0318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2025-05-07T12:34:00Z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