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1A3F505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9FB7F15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047204C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340D54F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33AECB0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53AF3643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03C19211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7A933F7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E8169C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45C5217C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36A2727B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  <w:p w:rsidR="00F85C99" w:rsidRPr="002F6A28" w:rsidP="00AA646C" w14:paraId="110EA9C2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13658A0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DF740E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1180C07F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75E749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96BEEE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CB7EF26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Blowers (HS code(s): 8504); (ICS code(s): 29.180)</w:t>
            </w:r>
          </w:p>
        </w:tc>
      </w:tr>
      <w:tr w14:paraId="294CC83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DABEBB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77EDF65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National Standard of the P.R.C., Minimum allowable values of energy efficiency and energy efficiency grades for blowers; (21 page(s), in Chinese)</w:t>
            </w:r>
          </w:p>
        </w:tc>
      </w:tr>
      <w:tr w14:paraId="20BD866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1AA758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36B535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minimum allowable values of energy, energy efficiency levels, and test methods for turbine blowers and volumetric blowers.</w:t>
            </w:r>
          </w:p>
          <w:p w:rsidR="00FE448B" w:rsidRPr="00C379C8" w:rsidP="002F6A28" w14:paraId="4769439E" w14:textId="77777777">
            <w:pPr>
              <w:spacing w:before="120" w:after="120"/>
            </w:pPr>
            <w:r w:rsidRPr="00C379C8">
              <w:t>This document applies to genera-purpose turbine blowers (including single-stage cantilever, single-stage double support, and multi-stage turbine blowers) with exhaust pressure (gauge pressure) ranging from 30 kPa to 200 kPa, or overall pressure ratio ranging from 1.3 to 3.0:</w:t>
            </w:r>
          </w:p>
          <w:p w:rsidR="00FE448B" w:rsidRPr="00C379C8" w:rsidP="002F6A28" w14:paraId="2C53DD68" w14:textId="77777777">
            <w:pPr>
              <w:spacing w:before="120" w:after="120"/>
            </w:pPr>
            <w:r w:rsidRPr="00C379C8">
              <w:t>a) Mechanical supported centrifugal blower with an inlet flow rate of 500~1000000m3/h;</w:t>
            </w:r>
          </w:p>
          <w:p w:rsidR="00FE448B" w:rsidRPr="00C379C8" w:rsidP="002F6A28" w14:paraId="2861A13F" w14:textId="77777777">
            <w:pPr>
              <w:spacing w:before="120" w:after="120"/>
            </w:pPr>
            <w:r w:rsidRPr="00C379C8">
              <w:t>b) Axial flow blower with an inlet flow rate of 60000~10000000m3/h;</w:t>
            </w:r>
          </w:p>
          <w:p w:rsidR="00FE448B" w:rsidRPr="00C379C8" w:rsidP="002F6A28" w14:paraId="4473A5C9" w14:textId="77777777">
            <w:pPr>
              <w:spacing w:before="120" w:after="120"/>
            </w:pPr>
            <w:r w:rsidRPr="00C379C8">
              <w:t>c) A suspended centrifugal blower with an import flow rate of 500~40000m3/h.</w:t>
            </w:r>
          </w:p>
          <w:p w:rsidR="00FE448B" w:rsidRPr="00C379C8" w:rsidP="002F6A28" w14:paraId="23ABD6D4" w14:textId="77777777">
            <w:pPr>
              <w:spacing w:before="120" w:after="120"/>
            </w:pPr>
            <w:r w:rsidRPr="00C379C8">
              <w:t>This document applies to single-stage Roots blowers with standard volumetric flow rates ranging from 1 to 1250m3/min, including positive pressure Roots blowers with pressure increases of 9.8 to 98kPa and negative pressure Roots blowers with pressure increases of 9.8 to 49kPa.</w:t>
            </w:r>
          </w:p>
          <w:p w:rsidR="00FE448B" w:rsidRPr="00C379C8" w:rsidP="002F6A28" w14:paraId="125D4F72" w14:textId="77777777">
            <w:pPr>
              <w:spacing w:before="120" w:after="120"/>
            </w:pPr>
            <w:r w:rsidRPr="00C379C8">
              <w:t>This document applies to screw blowers (including general purpose oil injected/oil-free single/twin screws) with a standard volumetric flow rate of 2 to 200m3/min and a pressure increase of 39.2 to 245kPa.</w:t>
            </w:r>
          </w:p>
        </w:tc>
      </w:tr>
      <w:tr w14:paraId="1D52A37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1D9196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0B00F9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the environment; Cost saving and productivity enhancement</w:t>
            </w:r>
          </w:p>
        </w:tc>
      </w:tr>
      <w:tr w14:paraId="0549445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0654F78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04A7ADFD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2FCA7723" w14:textId="77777777">
            <w:pPr>
              <w:spacing w:before="120" w:after="120"/>
            </w:pPr>
            <w:r w:rsidRPr="002F6A28">
              <w:t>-</w:t>
            </w:r>
          </w:p>
        </w:tc>
      </w:tr>
      <w:tr w14:paraId="3904DFB9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66CFBA8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4A330590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22693437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 12 months after approval</w:t>
            </w:r>
          </w:p>
        </w:tc>
      </w:tr>
      <w:tr w14:paraId="694EBAA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B07897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B3131C2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312F88A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0C5BE7C6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3CD74C81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2A9EC5D5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WTO/TBT National Notification and Enquiry Center of the People's Republic of China</w:t>
            </w:r>
          </w:p>
          <w:p w:rsidR="00EE3A11" w:rsidRPr="00A12DDE" w:rsidP="00B16145" w14:paraId="28185578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</w:t>
            </w:r>
            <w:r w:rsidRPr="00A12DDE">
              <w:rPr>
                <w:rFonts w:ascii="MS Mincho" w:eastAsia="MS Mincho" w:hAnsi="MS Mincho" w:cs="MS Mincho"/>
                <w:bCs/>
              </w:rPr>
              <w:t>：</w:t>
            </w:r>
            <w:r w:rsidRPr="00A12DDE">
              <w:rPr>
                <w:bCs/>
              </w:rPr>
              <w:t>+86 10 57954633 / 57954627</w:t>
            </w:r>
          </w:p>
          <w:p w:rsidR="00EE3A11" w:rsidRPr="00A12DDE" w:rsidP="00B16145" w14:paraId="4893B54F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E_mail: </w:t>
            </w:r>
            <w:hyperlink r:id="rId6" w:history="1">
              <w:r w:rsidRPr="00A12DDE">
                <w:rPr>
                  <w:bCs/>
                  <w:color w:val="0000FF"/>
                  <w:u w:val="single"/>
                </w:rPr>
                <w:t>tbt@customs.gov.cn</w:t>
              </w:r>
            </w:hyperlink>
          </w:p>
          <w:p w:rsidR="00EE3A11" w:rsidRPr="00A12DDE" w:rsidP="00B16145" w14:paraId="659F73EF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https://members.wto.org/crnattachments/2025/TBT/CHN/25_03003_00_x.pdf</w:t>
              </w:r>
            </w:hyperlink>
          </w:p>
        </w:tc>
      </w:tr>
    </w:tbl>
    <w:p w:rsidR="00EE3A11" w:rsidRPr="002F6A28" w:rsidP="002F6A28" w14:paraId="079AD0BB" w14:textId="77777777"/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7E4EE89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1A0FE8B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7AAE293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9034EF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EFA7BC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A6A834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33A8D9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0ABFB1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G/TBT/N/CHN/2052</w:t>
    </w:r>
    <w:bookmarkEnd w:id="0"/>
  </w:p>
  <w:p w:rsidR="009239F7" w:rsidRPr="002F6A28" w:rsidP="009239F7" w14:paraId="60CCA56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5F1560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367E1D0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2945DD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CACA6AD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68334FB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5759A6D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0E201F0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9712A6F" w14:textId="77777777">
          <w:pPr>
            <w:jc w:val="right"/>
            <w:rPr>
              <w:b/>
              <w:szCs w:val="16"/>
            </w:rPr>
          </w:pPr>
        </w:p>
      </w:tc>
    </w:tr>
    <w:tr w14:paraId="1D7751B4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BB2009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6CE9001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G/TBT/N/CHN/2052</w:t>
          </w:r>
          <w:bookmarkEnd w:id="2"/>
        </w:p>
      </w:tc>
    </w:tr>
    <w:tr w14:paraId="6CFCB0A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58629F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7052F85" w14:textId="4D57378D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</w:t>
          </w:r>
          <w:r>
            <w:rPr>
              <w:szCs w:val="16"/>
            </w:rPr>
            <w:t>4</w:t>
          </w:r>
          <w:r w:rsidRPr="009239F7">
            <w:rPr>
              <w:szCs w:val="16"/>
            </w:rPr>
            <w:t xml:space="preserve"> April 2025</w:t>
          </w:r>
          <w:bookmarkEnd w:id="3"/>
          <w:bookmarkEnd w:id="4"/>
        </w:p>
      </w:tc>
    </w:tr>
    <w:tr w14:paraId="364A0049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5128888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(25-2813)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30C9F5A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A082EF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FF9BA06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A62594A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56FDC33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90672936">
    <w:abstractNumId w:val="9"/>
  </w:num>
  <w:num w:numId="2" w16cid:durableId="772287201">
    <w:abstractNumId w:val="7"/>
  </w:num>
  <w:num w:numId="3" w16cid:durableId="470556253">
    <w:abstractNumId w:val="6"/>
  </w:num>
  <w:num w:numId="4" w16cid:durableId="1818106259">
    <w:abstractNumId w:val="5"/>
  </w:num>
  <w:num w:numId="5" w16cid:durableId="323628239">
    <w:abstractNumId w:val="4"/>
  </w:num>
  <w:num w:numId="6" w16cid:durableId="258297744">
    <w:abstractNumId w:val="12"/>
  </w:num>
  <w:num w:numId="7" w16cid:durableId="1930232814">
    <w:abstractNumId w:val="11"/>
  </w:num>
  <w:num w:numId="8" w16cid:durableId="616252684">
    <w:abstractNumId w:val="10"/>
  </w:num>
  <w:num w:numId="9" w16cid:durableId="49580378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65088603">
    <w:abstractNumId w:val="13"/>
  </w:num>
  <w:num w:numId="11" w16cid:durableId="1430128077">
    <w:abstractNumId w:val="8"/>
  </w:num>
  <w:num w:numId="12" w16cid:durableId="357124192">
    <w:abstractNumId w:val="3"/>
  </w:num>
  <w:num w:numId="13" w16cid:durableId="485587538">
    <w:abstractNumId w:val="2"/>
  </w:num>
  <w:num w:numId="14" w16cid:durableId="1053650430">
    <w:abstractNumId w:val="1"/>
  </w:num>
  <w:num w:numId="15" w16cid:durableId="1746298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05750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3B5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16C54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475ED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46319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3E09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94B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BA45902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tbt@customs.gov.cn" TargetMode="External" /><Relationship Id="rId7" Type="http://schemas.openxmlformats.org/officeDocument/2006/relationships/hyperlink" Target="https://members.wto.org/crnattachments/2025/TBT/CHN/25_03003_00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FEEC851-9F5B-4799-BDD2-344FFEC01DE4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4</cp:revision>
  <dcterms:created xsi:type="dcterms:W3CDTF">2025-04-23T15:27:00Z</dcterms:created>
  <dcterms:modified xsi:type="dcterms:W3CDTF">2025-04-24T07:00:00Z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