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0472CB25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42E807F5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A8620B6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52DBA107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3A3E55" w14:paraId="66A1D6B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524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946686" w14:paraId="69B7C45C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49F4E400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2E5C57D5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4EBD58E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873EB4" w14:paraId="51080A61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873EB4" w14:paraId="3C830620" w14:textId="77777777">
            <w:pPr>
              <w:spacing w:after="120"/>
            </w:pPr>
            <w:r w:rsidRPr="003A3E55">
              <w:t xml:space="preserve">Ministerio de </w:t>
            </w:r>
            <w:r w:rsidRPr="003A3E55">
              <w:t>Economía, Fomento y Turismo</w:t>
            </w:r>
          </w:p>
          <w:p w:rsidR="00A52F73" w:rsidRPr="003A3E55" w:rsidP="008849EF" w14:paraId="098EE021" w14:textId="77777777">
            <w:pPr>
              <w:spacing w:after="120"/>
            </w:pPr>
            <w:r w:rsidRPr="003A3E55">
              <w:rPr>
                <w:b/>
              </w:rPr>
              <w:t xml:space="preserve">Nombre y dirección (incluidos los números de teléfono y de fax, así como las direcciones de correo electrónico y sitios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caso) del organismo o autoridad encargado de la tramitación de observaciones sobre la notificación, en caso de que se trate de un organismo o autoridad diferente:</w:t>
            </w:r>
            <w:r w:rsidRPr="006A63E9" w:rsidR="00A22D74">
              <w:t xml:space="preserve"> </w:t>
            </w:r>
          </w:p>
          <w:p w:rsidR="00A22D74" w:rsidRPr="006A63E9" w:rsidP="008849EF" w14:paraId="4939180C" w14:textId="77777777">
            <w:pPr>
              <w:spacing w:after="120"/>
            </w:pPr>
            <w:r w:rsidRPr="006A63E9">
              <w:t>Subsecretaria de Relaciones Económicas Internacionales – Ministerio de Relaciones Exteriores</w:t>
            </w:r>
          </w:p>
        </w:tc>
      </w:tr>
      <w:tr w14:paraId="5745495C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7A2473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7920137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75FCDE18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81C38F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DC2672D" w14:textId="77777777">
            <w:pPr>
              <w:spacing w:before="120" w:after="120"/>
            </w:pPr>
            <w:r w:rsidRPr="003A3E55">
              <w:rPr>
                <w:b/>
              </w:rPr>
              <w:t>Productos abarcados (partida del SA o de la NCCA cuando corresponda;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en otro caso partida del arancel nacional.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Podrá indicarse además, cuando proceda, el número de partida de la ICS):</w:t>
            </w:r>
            <w:r w:rsidRPr="003A3E55" w:rsidR="00AF251E">
              <w:t xml:space="preserve"> Dispositivos móviles de información y telecomunicaciones y sus cargadores.</w:t>
            </w:r>
          </w:p>
        </w:tc>
      </w:tr>
      <w:tr w14:paraId="4E9F970A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0E13A2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B7FBDC2" w14:textId="77777777">
            <w:pPr>
              <w:spacing w:before="120" w:after="120"/>
            </w:pPr>
            <w:r w:rsidRPr="003A3E55">
              <w:rPr>
                <w:b/>
              </w:rPr>
              <w:t>Título, número de páginas e idioma(s) del documento notificado:</w:t>
            </w:r>
            <w:r w:rsidRPr="003A3E55" w:rsidR="00AF251E">
              <w:t xml:space="preserve"> Reglamento sobre Interoperabilidad Común entre Dispositivos Móviles de Información y Telecomunicaciones y sus Cargadores.; (6 página(s), en español)</w:t>
            </w:r>
          </w:p>
        </w:tc>
      </w:tr>
      <w:tr w14:paraId="1DA5EC1F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B723E9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48D7E62B" w14:textId="77777777">
            <w:pPr>
              <w:spacing w:before="120" w:after="120"/>
            </w:pPr>
            <w:r w:rsidRPr="003A3E55">
              <w:rPr>
                <w:b/>
              </w:rPr>
              <w:t>Descripción del contenido:</w:t>
            </w:r>
            <w:r w:rsidRPr="003A3E55" w:rsidR="00AF251E">
              <w:t xml:space="preserve"> El reglamento establece la interoperabilidad común entre dispositivos móviles y sus cargadores, obligando a que ciertos equipos, como teléfonos, tabletas y computadoras portátiles, usen el puerto USB-C como estándar de carga. También define normas técnicas basadas en estándares internacionales y exige a los proveedores informar claramente si incluyen un cargador y las especificaciones de carga del dispositivo.</w:t>
            </w:r>
          </w:p>
        </w:tc>
      </w:tr>
      <w:tr w14:paraId="75CAAD64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160155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A5462B" w14:paraId="5E1F674C" w14:textId="77777777">
            <w:pPr>
              <w:spacing w:before="120" w:after="120"/>
            </w:pPr>
            <w:r w:rsidRPr="003A3E55">
              <w:rPr>
                <w:b/>
              </w:rPr>
              <w:t xml:space="preserve">Objetivo y razón de ser, incluida, cuando proceda, la </w:t>
            </w:r>
            <w:r w:rsidRPr="003A3E55" w:rsidR="00677F2C">
              <w:rPr>
                <w:b/>
              </w:rPr>
              <w:t xml:space="preserve">naturaleza </w:t>
            </w:r>
            <w:r w:rsidRPr="003A3E55">
              <w:rPr>
                <w:b/>
              </w:rPr>
              <w:t>de los problemas urgentes:</w:t>
            </w:r>
            <w:r w:rsidRPr="003A3E55" w:rsidR="00412DAF">
              <w:t xml:space="preserve"> El objetivo del reglamento es estandarizar el sistema de carga de dispositivos móviles mediante la adopción del puerto USB-C, asegurando la interoperabilidad entre equipos y sus cargadores. Su razón de ser radica en mejorar la protección del consumidor, simplificar el uso de cargadores y reducir los desechos electrónicos generados por la proliferación de cargadores incompatibles. El problema que soluciona es la falta de un estándar universal, que obliga a los consumidores a adquirir múltiples cargadores, generando costos adicionales y un impacto ambiental negativo.; Información al consumidor, Etiquetado; Protección del medio ambiente</w:t>
            </w:r>
          </w:p>
        </w:tc>
      </w:tr>
      <w:tr w14:paraId="00E90CD9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617B12" w14:paraId="7B6AD86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075C7" w:rsidRPr="00A06BA0" w:rsidP="00702623" w14:paraId="4CFBCF3D" w14:textId="77777777">
            <w:pPr>
              <w:spacing w:before="120" w:after="120"/>
            </w:pPr>
            <w:r w:rsidRPr="003A3E55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702623" w14:paraId="734A3471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Ley Nº21.695 del 10 de octubre de 2024.</w:t>
            </w:r>
          </w:p>
          <w:p w:rsidR="00AF251E" w:rsidRPr="003A3E55" w:rsidP="00702623" w14:paraId="00CAD8BA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Ley N°19.496, que establece normas sobre protección de los derechos de los consumidores.</w:t>
            </w:r>
          </w:p>
        </w:tc>
      </w:tr>
      <w:tr w14:paraId="6462BA3E" w14:textId="77777777" w:rsidTr="007E347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3A3E55" w14:paraId="079E99E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9F7158" w14:paraId="6A840E2B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propuesta de adopción:</w:t>
            </w:r>
            <w:r w:rsidRPr="006A63E9">
              <w:t xml:space="preserve"> -</w:t>
            </w:r>
          </w:p>
          <w:p w:rsidR="00AF251E" w:rsidRPr="003A3E55" w:rsidP="009F7158" w14:paraId="67207CDB" w14:textId="77777777">
            <w:pPr>
              <w:spacing w:after="120"/>
              <w:rPr>
                <w:b/>
              </w:rPr>
            </w:pPr>
            <w:r w:rsidRPr="003A3E55">
              <w:rPr>
                <w:b/>
              </w:rPr>
              <w:t>Fecha propuesta de entrada en vigor:</w:t>
            </w:r>
            <w:r w:rsidRPr="006A63E9">
              <w:t xml:space="preserve"> -</w:t>
            </w:r>
          </w:p>
        </w:tc>
      </w:tr>
      <w:tr w14:paraId="59C8684C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A8FD0D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A4A91CE" w14:textId="77777777">
            <w:pPr>
              <w:spacing w:before="120" w:after="120"/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60 días a partir de la notificación</w:t>
            </w:r>
          </w:p>
        </w:tc>
      </w:tr>
      <w:tr w14:paraId="0D92A6CB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90284E" w14:paraId="78560AFD" w14:textId="77777777">
            <w:pPr>
              <w:keepNext/>
              <w:keepLines/>
              <w:spacing w:before="120" w:after="120"/>
              <w:rPr>
                <w:b/>
              </w:rPr>
            </w:pPr>
            <w:r w:rsidRPr="003A3E55">
              <w:rPr>
                <w:b/>
              </w:rPr>
              <w:t>11.</w:t>
            </w:r>
          </w:p>
        </w:tc>
        <w:tc>
          <w:tcPr>
            <w:tcW w:w="8524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AD2FD7" w14:paraId="17F094E2" w14:textId="77777777">
            <w:pPr>
              <w:keepNext/>
              <w:keepLines/>
              <w:spacing w:before="120" w:after="120"/>
            </w:pPr>
            <w:r w:rsidRPr="003A3E55">
              <w:rPr>
                <w:b/>
              </w:rPr>
              <w:t>Textos disponibles en: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Servicio nacional de información [ ]</w:t>
            </w:r>
            <w:r w:rsidRPr="003A3E55" w:rsidR="00677F2C">
              <w:rPr>
                <w:b/>
              </w:rPr>
              <w:t>,</w:t>
            </w:r>
            <w:r w:rsidRPr="003A3E55">
              <w:rPr>
                <w:b/>
              </w:rPr>
              <w:t xml:space="preserve"> o direcció</w:t>
            </w:r>
            <w:r w:rsidRPr="003A3E55" w:rsidR="00677F2C">
              <w:rPr>
                <w:b/>
              </w:rPr>
              <w:t>n, números de teléfono y de fax y direcciones</w:t>
            </w:r>
            <w:r w:rsidRPr="003A3E55">
              <w:rPr>
                <w:b/>
              </w:rPr>
              <w:t xml:space="preserve"> </w:t>
            </w:r>
            <w:r w:rsidRPr="003A3E55" w:rsidR="00677F2C">
              <w:rPr>
                <w:b/>
              </w:rPr>
              <w:t xml:space="preserve">de </w:t>
            </w:r>
            <w:r w:rsidRPr="003A3E55">
              <w:rPr>
                <w:b/>
              </w:rPr>
              <w:t>correo electrónico y sitio</w:t>
            </w:r>
            <w:r w:rsidRPr="003A3E55" w:rsidR="00677F2C">
              <w:rPr>
                <w:b/>
              </w:rPr>
              <w:t>s</w:t>
            </w:r>
            <w:r w:rsidRPr="003A3E55">
              <w:rPr>
                <w:b/>
              </w:rPr>
              <w:t xml:space="preserve">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caso, de otra institución:</w:t>
            </w:r>
            <w:r w:rsidRPr="003A3E55" w:rsidR="00AF251E">
              <w:t xml:space="preserve"> </w:t>
            </w:r>
          </w:p>
          <w:p w:rsidR="00AF251E" w:rsidRPr="003A3E55" w:rsidP="00AD2FD7" w14:paraId="038C5714" w14:textId="77777777">
            <w:pPr>
              <w:keepNext/>
              <w:keepLines/>
            </w:pPr>
            <w:r w:rsidRPr="003A3E55">
              <w:t xml:space="preserve">Subsecretaría de Relaciones Económicas </w:t>
            </w:r>
            <w:r w:rsidRPr="003A3E55">
              <w:t>Internacionales</w:t>
            </w:r>
          </w:p>
          <w:p w:rsidR="00AF251E" w:rsidRPr="003A3E55" w:rsidP="00AD2FD7" w14:paraId="39F55DDA" w14:textId="77777777">
            <w:pPr>
              <w:keepNext/>
              <w:keepLines/>
            </w:pPr>
            <w:r w:rsidRPr="003A3E55">
              <w:t>Ministerio de Relaciones Exteriores de Chile</w:t>
            </w:r>
          </w:p>
          <w:p w:rsidR="00AF251E" w:rsidRPr="003A3E55" w:rsidP="00AD2FD7" w14:paraId="151E47E5" w14:textId="77777777">
            <w:pPr>
              <w:keepNext/>
              <w:keepLines/>
            </w:pPr>
            <w:r w:rsidRPr="003A3E55">
              <w:t>Teatinos 180, piso 11</w:t>
            </w:r>
          </w:p>
          <w:p w:rsidR="00AF251E" w:rsidRPr="003A3E55" w:rsidP="00AD2FD7" w14:paraId="45B8CB8C" w14:textId="77777777">
            <w:pPr>
              <w:keepNext/>
              <w:keepLines/>
            </w:pPr>
            <w:r w:rsidRPr="003A3E55">
              <w:t>Teléfono: (+56)-2- 2827 5250 Fax: (+56)-2- 2380 9494</w:t>
            </w:r>
          </w:p>
          <w:p w:rsidR="00AF251E" w:rsidRPr="003A3E55" w:rsidP="00AD2FD7" w14:paraId="5D658BE8" w14:textId="77777777">
            <w:pPr>
              <w:keepNext/>
              <w:keepLines/>
            </w:pPr>
            <w:r w:rsidRPr="003A3E55">
              <w:t xml:space="preserve">Correo electrónico: </w:t>
            </w:r>
            <w:hyperlink r:id="rId4" w:history="1">
              <w:r w:rsidRPr="003A3E55">
                <w:rPr>
                  <w:color w:val="0000FF"/>
                  <w:u w:val="single"/>
                </w:rPr>
                <w:t>tbt_Chile@subrei.gob.cl</w:t>
              </w:r>
            </w:hyperlink>
          </w:p>
          <w:p w:rsidR="00AF251E" w:rsidRPr="003A3E55" w:rsidP="00AD2FD7" w14:paraId="1BB51927" w14:textId="77777777">
            <w:pPr>
              <w:keepNext/>
              <w:keepLines/>
              <w:pBdr>
                <w:top w:val="none" w:sz="0" w:space="4" w:color="auto"/>
              </w:pBdr>
              <w:spacing w:after="120"/>
            </w:pPr>
            <w:hyperlink r:id="rId5" w:tgtFrame="_blank" w:history="1">
              <w:r w:rsidRPr="003A3E55">
                <w:rPr>
                  <w:color w:val="0000FF"/>
                  <w:u w:val="single"/>
                </w:rPr>
                <w:t>https://members.wto.org/crnattachments/2025/TBT/CHL/25_02917_00_s.pdf</w:t>
              </w:r>
            </w:hyperlink>
          </w:p>
        </w:tc>
      </w:tr>
    </w:tbl>
    <w:p w:rsidR="00AF251E" w:rsidRPr="003A3E55" w:rsidP="003A3E55" w14:paraId="4E156102" w14:textId="77777777"/>
    <w:sectPr w:rsidSect="00AE3C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D53BCAC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4F974765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473BDC75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D28E4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04D9D5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33F1F4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643698D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0B60B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G/TBT/N/CHL/726</w:t>
    </w:r>
    <w:bookmarkEnd w:id="0"/>
  </w:p>
  <w:p w:rsidR="00B531D9" w:rsidRPr="003A3E55" w:rsidP="00B531D9" w14:paraId="22E46B3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FF219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75D7EB6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DA91A83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41898237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355624E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260AE54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2B6AD4B4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3C6ED150" w14:textId="77777777">
          <w:pPr>
            <w:jc w:val="right"/>
            <w:rPr>
              <w:b/>
              <w:szCs w:val="18"/>
            </w:rPr>
          </w:pPr>
        </w:p>
      </w:tc>
    </w:tr>
    <w:tr w14:paraId="10A863B9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20C6BD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4191C7BD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G/TBT/N/CHL/726</w:t>
          </w:r>
          <w:bookmarkEnd w:id="2"/>
        </w:p>
      </w:tc>
    </w:tr>
    <w:tr w14:paraId="5EA0DB9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7065D5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3A36AD3D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16 de abril de 2025</w:t>
          </w:r>
          <w:bookmarkEnd w:id="3"/>
          <w:bookmarkEnd w:id="4"/>
        </w:p>
      </w:tc>
    </w:tr>
    <w:tr w14:paraId="55788AF8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5C1444C8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(25-2694)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109F9735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1F29D0A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0C782736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 xml:space="preserve">Comité de Obstáculos Técnicos al </w:t>
          </w:r>
          <w:r w:rsidRPr="003A3E55">
            <w:rPr>
              <w:b/>
              <w:szCs w:val="18"/>
            </w:rPr>
            <w:t>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7884F14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223704D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28670550">
    <w:abstractNumId w:val="8"/>
  </w:num>
  <w:num w:numId="2" w16cid:durableId="136343715">
    <w:abstractNumId w:val="3"/>
  </w:num>
  <w:num w:numId="3" w16cid:durableId="79520875">
    <w:abstractNumId w:val="2"/>
  </w:num>
  <w:num w:numId="4" w16cid:durableId="1719209522">
    <w:abstractNumId w:val="1"/>
  </w:num>
  <w:num w:numId="5" w16cid:durableId="698244642">
    <w:abstractNumId w:val="0"/>
  </w:num>
  <w:num w:numId="6" w16cid:durableId="1003556583">
    <w:abstractNumId w:val="12"/>
  </w:num>
  <w:num w:numId="7" w16cid:durableId="1639341605">
    <w:abstractNumId w:val="10"/>
  </w:num>
  <w:num w:numId="8" w16cid:durableId="1445879791">
    <w:abstractNumId w:val="13"/>
  </w:num>
  <w:num w:numId="9" w16cid:durableId="1807043853">
    <w:abstractNumId w:val="9"/>
  </w:num>
  <w:num w:numId="10" w16cid:durableId="101581655">
    <w:abstractNumId w:val="7"/>
  </w:num>
  <w:num w:numId="11" w16cid:durableId="2082752220">
    <w:abstractNumId w:val="6"/>
  </w:num>
  <w:num w:numId="12" w16cid:durableId="1174808669">
    <w:abstractNumId w:val="5"/>
  </w:num>
  <w:num w:numId="13" w16cid:durableId="1172375296">
    <w:abstractNumId w:val="4"/>
  </w:num>
  <w:num w:numId="14" w16cid:durableId="404037904">
    <w:abstractNumId w:val="11"/>
  </w:num>
  <w:num w:numId="15" w16cid:durableId="11341808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30569386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A7098"/>
    <w:rsid w:val="000B12FE"/>
    <w:rsid w:val="000C724C"/>
    <w:rsid w:val="000D23F0"/>
    <w:rsid w:val="000D2FB0"/>
    <w:rsid w:val="000D4C66"/>
    <w:rsid w:val="00104D9E"/>
    <w:rsid w:val="00114B29"/>
    <w:rsid w:val="001171A2"/>
    <w:rsid w:val="00120B96"/>
    <w:rsid w:val="001273FC"/>
    <w:rsid w:val="001338F0"/>
    <w:rsid w:val="0014012F"/>
    <w:rsid w:val="001426D0"/>
    <w:rsid w:val="0017356C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3267CD"/>
    <w:rsid w:val="00334600"/>
    <w:rsid w:val="00337700"/>
    <w:rsid w:val="003422F5"/>
    <w:rsid w:val="00342A86"/>
    <w:rsid w:val="0035674B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605630"/>
    <w:rsid w:val="00617B12"/>
    <w:rsid w:val="006652F7"/>
    <w:rsid w:val="00674766"/>
    <w:rsid w:val="00674833"/>
    <w:rsid w:val="00677F2C"/>
    <w:rsid w:val="00696361"/>
    <w:rsid w:val="006A2F2A"/>
    <w:rsid w:val="006A63E9"/>
    <w:rsid w:val="006C0F04"/>
    <w:rsid w:val="006D492E"/>
    <w:rsid w:val="006E0C67"/>
    <w:rsid w:val="006F728A"/>
    <w:rsid w:val="00702623"/>
    <w:rsid w:val="00713022"/>
    <w:rsid w:val="00727F5B"/>
    <w:rsid w:val="00735ADA"/>
    <w:rsid w:val="00744D6F"/>
    <w:rsid w:val="007461AF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60CC"/>
    <w:rsid w:val="008A1305"/>
    <w:rsid w:val="008A2F61"/>
    <w:rsid w:val="008E4B39"/>
    <w:rsid w:val="0090284E"/>
    <w:rsid w:val="00912133"/>
    <w:rsid w:val="0091417D"/>
    <w:rsid w:val="00917BFE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F73"/>
    <w:rsid w:val="00A5462B"/>
    <w:rsid w:val="00A60556"/>
    <w:rsid w:val="00A627A8"/>
    <w:rsid w:val="00A67526"/>
    <w:rsid w:val="00A73F8C"/>
    <w:rsid w:val="00A803F2"/>
    <w:rsid w:val="00A84BF5"/>
    <w:rsid w:val="00A950D3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729C4"/>
    <w:rsid w:val="00B7403D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542D"/>
    <w:rsid w:val="00C97117"/>
    <w:rsid w:val="00CB2591"/>
    <w:rsid w:val="00CD0195"/>
    <w:rsid w:val="00CD0728"/>
    <w:rsid w:val="00CD5EC3"/>
    <w:rsid w:val="00CE1C9D"/>
    <w:rsid w:val="00CF4D05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2A03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EB6DC1"/>
  <w15:docId w15:val="{241B1B2E-0115-46AA-A6DD-476E98CC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tbt_Chile@subrei.gob.cl" TargetMode="External" /><Relationship Id="rId5" Type="http://schemas.openxmlformats.org/officeDocument/2006/relationships/hyperlink" Target="https://members.wto.org/crnattachments/2025/TBT/CHL/25_02917_00_s.pdf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Greenleaves, Jane</cp:lastModifiedBy>
  <cp:revision>2</cp:revision>
  <dcterms:created xsi:type="dcterms:W3CDTF">2025-04-16T09:34:00Z</dcterms:created>
  <dcterms:modified xsi:type="dcterms:W3CDTF">2025-04-16T09:34:00Z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NC</vt:lpwstr>
  </property>
</Properties>
</file>