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34D222E" w14:textId="77777777">
      <w:pPr>
        <w:pStyle w:val="Title"/>
        <w:rPr>
          <w:caps w:val="0"/>
          <w:kern w:val="0"/>
        </w:rPr>
      </w:pPr>
      <w:r w:rsidRPr="002F6A28">
        <w:rPr>
          <w:caps w:val="0"/>
          <w:kern w:val="0"/>
        </w:rPr>
        <w:t>NOTIFICATION</w:t>
      </w:r>
    </w:p>
    <w:p w:rsidR="009239F7" w:rsidRPr="002F6A28" w:rsidP="002F6A28" w14:paraId="012529F0" w14:textId="77777777">
      <w:pPr>
        <w:jc w:val="center"/>
      </w:pPr>
      <w:r w:rsidRPr="002F6A28">
        <w:t>The following notification is being circulated in accordance with Article 10.6</w:t>
      </w:r>
    </w:p>
    <w:p w:rsidR="009239F7" w:rsidRPr="002F6A28" w:rsidP="002F6A28" w14:paraId="09C68CE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3765C0D"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117E338"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C7498E6"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101A7E92" w14:textId="77777777">
            <w:pPr>
              <w:spacing w:after="120"/>
            </w:pPr>
            <w:r w:rsidRPr="002F6A28">
              <w:rPr>
                <w:b/>
              </w:rPr>
              <w:t>If applicable, name of local government involved (Article 3.2 and 7.2):</w:t>
            </w:r>
            <w:r w:rsidRPr="00C379C8" w:rsidR="00EE3A11">
              <w:t xml:space="preserve"> </w:t>
            </w:r>
          </w:p>
        </w:tc>
      </w:tr>
      <w:tr w14:paraId="73F534E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EB638F9"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FB48D50" w14:textId="77777777">
            <w:pPr>
              <w:spacing w:before="120" w:after="120"/>
            </w:pPr>
            <w:r w:rsidRPr="002F6A28">
              <w:rPr>
                <w:b/>
              </w:rPr>
              <w:t>Agency responsible:</w:t>
            </w:r>
            <w:r w:rsidRPr="00C379C8" w:rsidR="00EE3A11">
              <w:t xml:space="preserve"> </w:t>
            </w:r>
          </w:p>
          <w:p w:rsidR="00EE3A11" w:rsidRPr="00C379C8" w:rsidP="00155128" w14:paraId="0C9DFC46" w14:textId="77777777">
            <w:pPr>
              <w:spacing w:after="120"/>
            </w:pPr>
            <w:r w:rsidRPr="00C379C8">
              <w:t xml:space="preserve">State Administration for Market </w:t>
            </w:r>
            <w:r w:rsidRPr="00C379C8">
              <w:t>Regulation (Standardization Administration of the P.R.C.)</w:t>
            </w:r>
          </w:p>
          <w:p w:rsidR="00F85C99" w:rsidRPr="002F6A28" w:rsidP="00AA646C" w14:paraId="23E3C47A"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7CBD981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0FAEDF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588D0C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595E0C4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081711F"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0DD6AFB"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dust removal equipment, explosion-proof valves, explosion relief devices (HS code(s): 841990; 842139; 848180); (ICS code(s): 13.230)</w:t>
            </w:r>
          </w:p>
        </w:tc>
      </w:tr>
      <w:tr w14:paraId="571E4CD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809EB9E"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FA0CE7B" w14:textId="77777777">
            <w:pPr>
              <w:spacing w:before="120" w:after="120"/>
            </w:pPr>
            <w:r w:rsidRPr="002F6A28">
              <w:rPr>
                <w:b/>
              </w:rPr>
              <w:t>Title, number of pages and language(s) of the notified document:</w:t>
            </w:r>
            <w:r w:rsidRPr="00C379C8" w:rsidR="00EE3A11">
              <w:t xml:space="preserve"> National Standard of the P.R.C., Safety specification for dust explosion protection in textile industry; (12 page(s), in Chinese)</w:t>
            </w:r>
          </w:p>
        </w:tc>
      </w:tr>
      <w:tr w14:paraId="05875E5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0763C81"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2FBF263" w14:textId="77777777">
            <w:pPr>
              <w:spacing w:before="120" w:after="120"/>
              <w:rPr>
                <w:b/>
              </w:rPr>
            </w:pPr>
            <w:r w:rsidRPr="002F6A28">
              <w:rPr>
                <w:b/>
              </w:rPr>
              <w:t>Description of content:</w:t>
            </w:r>
            <w:r w:rsidRPr="00C379C8" w:rsidR="00FE448B">
              <w:t xml:space="preserve"> This document specifies the safety requirements for textile fiber dust explosion hazard areas, buildings and structures, ventilation and dust removal systems, dust removal equipment, spark detection and extinguishing devices, electrical equipment, operational safety, and dust chamber management in the textile industry, including textiles, clothing manufacturing, chemical fiber manufacturing, etc., and describes the verification methods.</w:t>
            </w:r>
          </w:p>
          <w:p w:rsidR="00FE448B" w:rsidRPr="00C379C8" w:rsidP="002F6A28" w14:paraId="668E8B6A" w14:textId="77777777">
            <w:pPr>
              <w:spacing w:before="120" w:after="120"/>
            </w:pPr>
            <w:r w:rsidRPr="00C379C8">
              <w:t>This document applies to the design, operation, and safety management of dust explosion danger areas and dust removal systems in textile industry using cotton, linen, wool, blends, chemical fibers and silk as raw materials. Textile industry enterprises using other raw materials may refer to this document.</w:t>
            </w:r>
          </w:p>
        </w:tc>
      </w:tr>
      <w:tr w14:paraId="32C03B0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53AFA9C"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2AD05B2"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5E57AC1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13A572AF"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D2D4FB5" w14:textId="77777777">
            <w:pPr>
              <w:spacing w:before="120" w:after="120"/>
              <w:rPr>
                <w:bCs/>
              </w:rPr>
            </w:pPr>
            <w:r w:rsidRPr="002F6A28">
              <w:rPr>
                <w:b/>
              </w:rPr>
              <w:t>Relevant documents:</w:t>
            </w:r>
            <w:r w:rsidRPr="002F6A28" w:rsidR="00EE3A11">
              <w:t xml:space="preserve"> </w:t>
            </w:r>
          </w:p>
        </w:tc>
      </w:tr>
      <w:tr w14:paraId="5CF37B35"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470F5CB"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C9262FB" w14:textId="77777777">
            <w:pPr>
              <w:spacing w:before="120" w:after="120"/>
            </w:pPr>
            <w:r w:rsidRPr="002F6A28">
              <w:rPr>
                <w:b/>
              </w:rPr>
              <w:t>Proposed date of adoption:</w:t>
            </w:r>
            <w:r w:rsidRPr="00C379C8">
              <w:t xml:space="preserve"> To be determined</w:t>
            </w:r>
          </w:p>
          <w:p w:rsidR="00EE3A11" w:rsidRPr="002F6A28" w:rsidP="008953C4" w14:paraId="76EC2926" w14:textId="77777777">
            <w:pPr>
              <w:spacing w:after="120"/>
            </w:pPr>
            <w:r w:rsidRPr="002F6A28">
              <w:rPr>
                <w:b/>
              </w:rPr>
              <w:t>Proposed date of entry into force:</w:t>
            </w:r>
            <w:r w:rsidRPr="00C379C8">
              <w:t xml:space="preserve"> 12 months after approval</w:t>
            </w:r>
          </w:p>
        </w:tc>
      </w:tr>
      <w:tr w14:paraId="3BF6836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3CA8962"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C052203" w14:textId="77777777">
            <w:pPr>
              <w:spacing w:before="120" w:after="120"/>
            </w:pPr>
            <w:r w:rsidRPr="002F6A28">
              <w:rPr>
                <w:b/>
              </w:rPr>
              <w:t>Final date for comments:</w:t>
            </w:r>
            <w:r w:rsidRPr="00C379C8" w:rsidR="00EE3A11">
              <w:t xml:space="preserve"> 60 days from notification</w:t>
            </w:r>
          </w:p>
        </w:tc>
      </w:tr>
      <w:tr w14:paraId="0349FAC0"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B1C476E"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6ED439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745EE36" w14:textId="77777777">
            <w:pPr>
              <w:keepNext/>
              <w:keepLines/>
              <w:rPr>
                <w:bCs/>
              </w:rPr>
            </w:pPr>
            <w:r w:rsidRPr="00A12DDE">
              <w:rPr>
                <w:bCs/>
              </w:rPr>
              <w:t>WTO/TBT National Notification and Enquiry Center of the People's Republic of China</w:t>
            </w:r>
          </w:p>
          <w:p w:rsidR="00EE3A11" w:rsidRPr="00A12DDE" w:rsidP="00B16145" w14:paraId="30D073F8"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47FDCF94"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6F113C7A"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https://members.wto.org/crnattachments/2025/TBT/CHN/25_02765_00_x.pdf</w:t>
              </w:r>
            </w:hyperlink>
          </w:p>
        </w:tc>
      </w:tr>
    </w:tbl>
    <w:p w:rsidR="00EE3A11" w:rsidRPr="002F6A28" w:rsidP="002F6A28" w14:paraId="482556EA"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B2156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090B7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9797CF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DA14F4" w14:textId="77777777">
    <w:pPr>
      <w:pStyle w:val="Header"/>
      <w:pBdr>
        <w:bottom w:val="single" w:sz="4" w:space="1" w:color="auto"/>
      </w:pBdr>
      <w:tabs>
        <w:tab w:val="clear" w:pos="4513"/>
        <w:tab w:val="clear" w:pos="9027"/>
      </w:tabs>
      <w:jc w:val="center"/>
    </w:pPr>
    <w:r w:rsidRPr="002F6A28">
      <w:t>tbtSymbol</w:t>
    </w:r>
  </w:p>
  <w:p w:rsidR="009239F7" w:rsidRPr="002F6A28" w:rsidP="009239F7" w14:paraId="30628858" w14:textId="77777777">
    <w:pPr>
      <w:pStyle w:val="Header"/>
      <w:pBdr>
        <w:bottom w:val="single" w:sz="4" w:space="1" w:color="auto"/>
      </w:pBdr>
      <w:tabs>
        <w:tab w:val="clear" w:pos="4513"/>
        <w:tab w:val="clear" w:pos="9027"/>
      </w:tabs>
      <w:jc w:val="center"/>
    </w:pPr>
  </w:p>
  <w:p w:rsidR="009239F7" w:rsidRPr="002F6A28" w:rsidP="009239F7" w14:paraId="4F15582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0E4D01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2C074C" w14:textId="77777777">
    <w:pPr>
      <w:pStyle w:val="Header"/>
      <w:pBdr>
        <w:bottom w:val="single" w:sz="4" w:space="1" w:color="auto"/>
      </w:pBdr>
      <w:tabs>
        <w:tab w:val="clear" w:pos="4513"/>
        <w:tab w:val="clear" w:pos="9027"/>
      </w:tabs>
      <w:jc w:val="center"/>
    </w:pPr>
    <w:bookmarkStart w:id="0" w:name="spsSymbolHeader"/>
    <w:r w:rsidRPr="002F6A28">
      <w:t>G/TBT/N/CHN/2042</w:t>
    </w:r>
    <w:bookmarkEnd w:id="0"/>
  </w:p>
  <w:p w:rsidR="009239F7" w:rsidRPr="002F6A28" w:rsidP="009239F7" w14:paraId="0020D4F7" w14:textId="77777777">
    <w:pPr>
      <w:pStyle w:val="Header"/>
      <w:pBdr>
        <w:bottom w:val="single" w:sz="4" w:space="1" w:color="auto"/>
      </w:pBdr>
      <w:tabs>
        <w:tab w:val="clear" w:pos="4513"/>
        <w:tab w:val="clear" w:pos="9027"/>
      </w:tabs>
      <w:jc w:val="center"/>
    </w:pPr>
  </w:p>
  <w:p w:rsidR="009239F7" w:rsidRPr="002F6A28" w:rsidP="009239F7" w14:paraId="0696BFD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04AE9E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FA98FE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F6424B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FE0D71F" w14:textId="77777777">
          <w:pPr>
            <w:jc w:val="right"/>
            <w:rPr>
              <w:b/>
              <w:color w:val="FF0000"/>
              <w:szCs w:val="16"/>
            </w:rPr>
          </w:pPr>
        </w:p>
      </w:tc>
    </w:tr>
    <w:bookmarkEnd w:id="1"/>
    <w:tr w14:paraId="4FCAB24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702BAB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EC17C4F" w14:textId="77777777">
          <w:pPr>
            <w:jc w:val="right"/>
            <w:rPr>
              <w:b/>
              <w:szCs w:val="16"/>
            </w:rPr>
          </w:pPr>
        </w:p>
      </w:tc>
    </w:tr>
    <w:tr w14:paraId="6255CE8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E25FD8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27BCC35" w14:textId="77777777">
          <w:pPr>
            <w:jc w:val="right"/>
            <w:rPr>
              <w:b/>
              <w:szCs w:val="16"/>
            </w:rPr>
          </w:pPr>
          <w:bookmarkStart w:id="2" w:name="bmkSymbols"/>
          <w:r w:rsidRPr="002F6A28">
            <w:rPr>
              <w:b/>
              <w:szCs w:val="16"/>
            </w:rPr>
            <w:t>G/TBT/N/CHN/2042</w:t>
          </w:r>
          <w:bookmarkEnd w:id="2"/>
        </w:p>
      </w:tc>
    </w:tr>
    <w:tr w14:paraId="40D934D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0E07FD1" w14:textId="77777777"/>
      </w:tc>
      <w:tc>
        <w:tcPr>
          <w:tcW w:w="5448" w:type="dxa"/>
          <w:gridSpan w:val="2"/>
          <w:shd w:val="clear" w:color="auto" w:fill="FFFFFF"/>
          <w:tcMar>
            <w:left w:w="108" w:type="dxa"/>
            <w:right w:w="108" w:type="dxa"/>
          </w:tcMar>
          <w:vAlign w:val="center"/>
        </w:tcPr>
        <w:p w:rsidR="00ED54E0" w:rsidRPr="009239F7" w:rsidP="00B801E9" w14:paraId="0F942196" w14:textId="77777777">
          <w:pPr>
            <w:jc w:val="right"/>
            <w:rPr>
              <w:szCs w:val="16"/>
            </w:rPr>
          </w:pPr>
          <w:bookmarkStart w:id="3" w:name="spsDateDistribution"/>
          <w:bookmarkStart w:id="4" w:name="bmkDate"/>
          <w:r w:rsidRPr="009239F7">
            <w:rPr>
              <w:szCs w:val="16"/>
            </w:rPr>
            <w:t>10 April 2025</w:t>
          </w:r>
          <w:bookmarkEnd w:id="3"/>
          <w:bookmarkEnd w:id="4"/>
        </w:p>
      </w:tc>
    </w:tr>
    <w:tr w14:paraId="01BE2D3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7CDACB1" w14:textId="77777777">
          <w:pPr>
            <w:jc w:val="left"/>
            <w:rPr>
              <w:b/>
            </w:rPr>
          </w:pPr>
          <w:bookmarkStart w:id="5" w:name="bmkSerial"/>
          <w:r>
            <w:rPr>
              <w:b w:val="0"/>
              <w:color w:val="FF0000"/>
            </w:rPr>
            <w:t>(25-2490)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866FB2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D7CE5E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7D937D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3415C4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B8DBD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61877268">
    <w:abstractNumId w:val="9"/>
  </w:num>
  <w:num w:numId="2" w16cid:durableId="1190921836">
    <w:abstractNumId w:val="7"/>
  </w:num>
  <w:num w:numId="3" w16cid:durableId="996104585">
    <w:abstractNumId w:val="6"/>
  </w:num>
  <w:num w:numId="4" w16cid:durableId="636027444">
    <w:abstractNumId w:val="5"/>
  </w:num>
  <w:num w:numId="5" w16cid:durableId="1815878523">
    <w:abstractNumId w:val="4"/>
  </w:num>
  <w:num w:numId="6" w16cid:durableId="583151424">
    <w:abstractNumId w:val="12"/>
  </w:num>
  <w:num w:numId="7" w16cid:durableId="2024041325">
    <w:abstractNumId w:val="11"/>
  </w:num>
  <w:num w:numId="8" w16cid:durableId="29575070">
    <w:abstractNumId w:val="10"/>
  </w:num>
  <w:num w:numId="9" w16cid:durableId="6184119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4810777">
    <w:abstractNumId w:val="13"/>
  </w:num>
  <w:num w:numId="11" w16cid:durableId="1949123465">
    <w:abstractNumId w:val="8"/>
  </w:num>
  <w:num w:numId="12" w16cid:durableId="780076112">
    <w:abstractNumId w:val="3"/>
  </w:num>
  <w:num w:numId="13" w16cid:durableId="1828016790">
    <w:abstractNumId w:val="2"/>
  </w:num>
  <w:num w:numId="14" w16cid:durableId="740063771">
    <w:abstractNumId w:val="1"/>
  </w:num>
  <w:num w:numId="15" w16cid:durableId="1391885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567B4"/>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748DE"/>
    <w:rsid w:val="00F83255"/>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E9310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2765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2025-04-10T14:28:00Z</dcterms:created>
  <dcterms:modified xsi:type="dcterms:W3CDTF">2025-04-10T14:28:00Z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