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4EE2329" w14:textId="77777777">
      <w:pPr>
        <w:pStyle w:val="Title"/>
      </w:pPr>
      <w:r w:rsidRPr="002F663C">
        <w:t>NOTIFICATION</w:t>
      </w:r>
    </w:p>
    <w:p w:rsidR="002F663C" w:rsidRPr="002F663C" w:rsidP="00DD3DD7" w14:paraId="6EC7D8B9" w14:textId="77777777">
      <w:pPr>
        <w:pStyle w:val="Title3"/>
      </w:pPr>
      <w:r w:rsidRPr="002F663C">
        <w:t>Addendum</w:t>
      </w:r>
    </w:p>
    <w:p w:rsidR="002F663C" w:rsidP="001E2E4A" w14:paraId="03D222B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F8AF43E" w14:textId="77777777">
      <w:pPr>
        <w:rPr>
          <w:rFonts w:eastAsia="Calibri" w:cs="Times New Roman"/>
        </w:rPr>
      </w:pPr>
    </w:p>
    <w:p w:rsidR="002F663C" w:rsidRPr="002F663C" w:rsidP="002F663C" w14:paraId="00C8AA9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463CCD" w14:textId="77777777">
      <w:pPr>
        <w:rPr>
          <w:rFonts w:eastAsia="Calibri" w:cs="Times New Roman"/>
        </w:rPr>
      </w:pPr>
    </w:p>
    <w:p w:rsidR="00C14444" w:rsidRPr="002F663C" w:rsidP="002F663C" w14:paraId="7A97504C" w14:textId="77777777">
      <w:pPr>
        <w:rPr>
          <w:rFonts w:eastAsia="Calibri" w:cs="Times New Roman"/>
        </w:rPr>
      </w:pPr>
    </w:p>
    <w:p w:rsidR="002F663C" w:rsidRPr="002F663C" w:rsidP="002F663C" w14:paraId="19F0786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Regulations Amending the Energy Efficiency Regulations, 2016 (Amendment 18)</w:t>
      </w:r>
    </w:p>
    <w:p w:rsidR="002F663C" w:rsidRPr="002F663C" w:rsidP="002F663C" w14:paraId="39488C6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08E1F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F3ECB4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7B8CE5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D1C1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E642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1A30C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4A08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3992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March 2025</w:t>
            </w:r>
          </w:p>
        </w:tc>
      </w:tr>
      <w:tr w14:paraId="2AA005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2FDA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CC6D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9 April 2025</w:t>
            </w:r>
          </w:p>
        </w:tc>
      </w:tr>
      <w:tr w14:paraId="7DE38C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0801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61DBC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10 October 2025, with compliance dates ranging from 10 </w:t>
            </w:r>
            <w:r w:rsidRPr="002F663C">
              <w:rPr>
                <w:rFonts w:eastAsia="Calibri" w:cs="Times New Roman"/>
              </w:rPr>
              <w:t>October 2025 to 6 May 2029, depending on the product.</w:t>
            </w:r>
          </w:p>
        </w:tc>
      </w:tr>
      <w:tr w14:paraId="4AE917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9AB3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2F77A2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B15049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https://gazette.gc.ca/rp-pr/p2/2025/2025-04-09/html/sor-dors110-eng.html</w:t>
              </w:r>
            </w:hyperlink>
            <w:r w:rsidRPr="002F663C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705D6B4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https://gazette.gc.ca/rp-pr/p2/2025/2025-04-09/html/sor-dors110-fra.html</w:t>
              </w:r>
            </w:hyperlink>
            <w:r w:rsidRPr="002F663C">
              <w:rPr>
                <w:rFonts w:eastAsia="Calibri" w:cs="Times New Roman"/>
              </w:rPr>
              <w:t xml:space="preserve"> (French)</w:t>
            </w:r>
          </w:p>
        </w:tc>
      </w:tr>
      <w:tr w14:paraId="4BDF65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B2DBC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9FBB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EDCE8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512A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44482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61E7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E0C060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B1B1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D605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F97E8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8CFA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900CC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EC2FD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6E0FF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96831F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proposed amendment notified under notification G/TBT/N/CAN/727 (dated 26 June 2024) was published on 9 April 2025 as the </w:t>
      </w:r>
      <w:r w:rsidRPr="002F663C">
        <w:rPr>
          <w:rFonts w:eastAsia="Calibri" w:cs="Times New Roman"/>
          <w:i/>
          <w:iCs/>
          <w:szCs w:val="18"/>
        </w:rPr>
        <w:t>Regulations Amending the Energy Efficiency Regulations, 2016 (Amendment 18)</w:t>
      </w:r>
      <w:r w:rsidRPr="002F663C">
        <w:rPr>
          <w:rFonts w:eastAsia="Calibri" w:cs="Times New Roman"/>
          <w:szCs w:val="18"/>
        </w:rPr>
        <w:t>. All changes will come into force on 10 October 2025, with compliance dates ranging from 10 October 2025 to 6 May 2029, depending on the product.</w:t>
      </w:r>
    </w:p>
    <w:p w:rsidR="006C5A96" w:rsidP="006C5A96" w14:paraId="2D513DB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0B8D0C6" w14:textId="77777777">
      <w:pPr>
        <w:jc w:val="center"/>
        <w:rPr>
          <w:b/>
        </w:rPr>
      </w:pPr>
    </w:p>
    <w:p w:rsidR="00A1565D" w:rsidP="003971FF" w14:paraId="6D2E001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A91C6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4CF2F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E938B39" w14:textId="77777777">
      <w:r>
        <w:separator/>
      </w:r>
    </w:p>
  </w:footnote>
  <w:footnote w:type="continuationSeparator" w:id="1">
    <w:p w:rsidR="004D3A6A" w:rsidP="00ED54E0" w14:paraId="53899FC8" w14:textId="77777777">
      <w:r>
        <w:continuationSeparator/>
      </w:r>
    </w:p>
  </w:footnote>
  <w:footnote w:id="2">
    <w:p w:rsidR="007F6EA2" w14:paraId="1A02745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F7E5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B2EC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B266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1C7E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C54E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G/TBT/N/CAN/727/Add.1</w:t>
    </w:r>
    <w:bookmarkEnd w:id="3"/>
  </w:p>
  <w:p w:rsidR="00DD3DD7" w:rsidRPr="00DD3DD7" w:rsidP="00DD3DD7" w14:paraId="406997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E21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59060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DB73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A7EEA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7BAE5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6E394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E43AC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B0A9C7" w14:textId="77777777">
          <w:pPr>
            <w:jc w:val="right"/>
            <w:rPr>
              <w:b/>
              <w:szCs w:val="16"/>
            </w:rPr>
          </w:pPr>
        </w:p>
      </w:tc>
    </w:tr>
    <w:tr w14:paraId="07AAA1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98D1C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B4AFE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G/TBT/N/CAN/727/Add.1</w:t>
          </w:r>
          <w:bookmarkEnd w:id="4"/>
        </w:p>
        <w:p w:rsidR="00C14444" w:rsidRPr="00C14444" w:rsidP="00C14444" w14:paraId="53CD57B5" w14:textId="77777777">
          <w:pPr>
            <w:jc w:val="center"/>
            <w:rPr>
              <w:szCs w:val="16"/>
            </w:rPr>
          </w:pPr>
        </w:p>
      </w:tc>
    </w:tr>
    <w:tr w14:paraId="0A8E25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FC06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A1C1A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April 2025</w:t>
          </w:r>
          <w:bookmarkEnd w:id="5"/>
        </w:p>
      </w:tc>
    </w:tr>
    <w:tr w14:paraId="12F6A55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2FCB8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(25-2473)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9F93D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20EB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321AC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C3B11A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56FFA0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339666">
    <w:abstractNumId w:val="9"/>
  </w:num>
  <w:num w:numId="2" w16cid:durableId="2129855136">
    <w:abstractNumId w:val="7"/>
  </w:num>
  <w:num w:numId="3" w16cid:durableId="1678732729">
    <w:abstractNumId w:val="6"/>
  </w:num>
  <w:num w:numId="4" w16cid:durableId="1280406530">
    <w:abstractNumId w:val="5"/>
  </w:num>
  <w:num w:numId="5" w16cid:durableId="845822447">
    <w:abstractNumId w:val="4"/>
  </w:num>
  <w:num w:numId="6" w16cid:durableId="890655384">
    <w:abstractNumId w:val="12"/>
  </w:num>
  <w:num w:numId="7" w16cid:durableId="859859501">
    <w:abstractNumId w:val="11"/>
  </w:num>
  <w:num w:numId="8" w16cid:durableId="398292252">
    <w:abstractNumId w:val="10"/>
  </w:num>
  <w:num w:numId="9" w16cid:durableId="2077120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432849">
    <w:abstractNumId w:val="13"/>
  </w:num>
  <w:num w:numId="11" w16cid:durableId="692998467">
    <w:abstractNumId w:val="8"/>
  </w:num>
  <w:num w:numId="12" w16cid:durableId="21173992">
    <w:abstractNumId w:val="3"/>
  </w:num>
  <w:num w:numId="13" w16cid:durableId="1604681107">
    <w:abstractNumId w:val="2"/>
  </w:num>
  <w:num w:numId="14" w16cid:durableId="184172321">
    <w:abstractNumId w:val="1"/>
  </w:num>
  <w:num w:numId="15" w16cid:durableId="1712151983">
    <w:abstractNumId w:val="0"/>
  </w:num>
  <w:num w:numId="16" w16cid:durableId="10082884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7A47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5F29"/>
    <w:rsid w:val="00E9471B"/>
    <w:rsid w:val="00EA5D4F"/>
    <w:rsid w:val="00EB2EDB"/>
    <w:rsid w:val="00EB6C56"/>
    <w:rsid w:val="00EB7B40"/>
    <w:rsid w:val="00EC74B2"/>
    <w:rsid w:val="00ED1D47"/>
    <w:rsid w:val="00ED54E0"/>
    <w:rsid w:val="00EE2656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703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gazette.gc.ca/rp-pr/p2/2025/2025-04-09/html/sor-dors110-eng.html" TargetMode="External" /><Relationship Id="rId7" Type="http://schemas.openxmlformats.org/officeDocument/2006/relationships/hyperlink" Target="https://gazette.gc.ca/rp-pr/p2/2025/2025-04-09/html/sor-dors110-fra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2025-04-10T07:10:00Z</dcterms:created>
  <dcterms:modified xsi:type="dcterms:W3CDTF">2025-04-10T07:10:00Z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