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E0F671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FF2C16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EF1B93F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A2E3B7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A5C8E4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5BCA7B3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01E6469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07A556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AABF15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1566E8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3BD9DA73" w14:textId="77777777">
            <w:pPr>
              <w:spacing w:after="120"/>
            </w:pPr>
            <w:r w:rsidRPr="00C379C8">
              <w:t xml:space="preserve">European </w:t>
            </w:r>
            <w:r w:rsidRPr="00C379C8">
              <w:t>Commission</w:t>
            </w:r>
          </w:p>
          <w:p w:rsidR="00F85C99" w:rsidRPr="002F6A28" w:rsidP="00AA646C" w14:paraId="2F9E3F3A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4EC588E" w14:textId="77777777">
            <w:r w:rsidRPr="00C379C8">
              <w:t>European Commission,</w:t>
            </w:r>
          </w:p>
          <w:p w:rsidR="00AC6C6E" w:rsidRPr="00C379C8" w:rsidP="00AA646C" w14:paraId="5A0E1A2C" w14:textId="77777777">
            <w:r w:rsidRPr="00C379C8">
              <w:t>EU-TBT Enquiry Point,</w:t>
            </w:r>
          </w:p>
          <w:p w:rsidR="00AC6C6E" w:rsidRPr="00C379C8" w:rsidP="00AA646C" w14:paraId="6A0EFAF9" w14:textId="77777777">
            <w:r w:rsidRPr="00C379C8">
              <w:t>Fax: +(32) 2 299 80 43,</w:t>
            </w:r>
          </w:p>
          <w:p w:rsidR="00AC6C6E" w:rsidRPr="00C379C8" w:rsidP="00AA646C" w14:paraId="5BBF1F5C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AC6C6E" w:rsidRPr="00C379C8" w:rsidP="00AA646C" w14:paraId="4E2304C2" w14:textId="77777777">
            <w:pPr>
              <w:spacing w:after="120"/>
            </w:pPr>
            <w:r w:rsidRPr="00C379C8">
              <w:t>Website: Preventing International Trade Barriers | TBT - European Commission</w:t>
            </w:r>
          </w:p>
        </w:tc>
      </w:tr>
      <w:tr w14:paraId="310DA79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02A27F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C4C956F" w14:textId="77777777">
            <w:pPr>
              <w:spacing w:before="120" w:after="120"/>
            </w:pPr>
            <w:r w:rsidRPr="002F6A28">
              <w:rPr>
                <w:b/>
              </w:rPr>
              <w:t xml:space="preserve">Notified </w:t>
            </w:r>
            <w:r w:rsidRPr="002F6A28">
              <w:rPr>
                <w:b/>
              </w:rPr>
              <w:t>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A47A99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E2B3F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1E73A7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Chemical substances classified as drug precursors.</w:t>
            </w:r>
          </w:p>
        </w:tc>
      </w:tr>
      <w:tr w14:paraId="78EFD6D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A4274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73A0E3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Commission Delegated Regulation amending Regulation (EC) No 273/2004 of the European Parliament and of the Council and Council Regulation (EC) No 111/2005 as regards the inclusion of the drug precursors 4-piperidone and 1-boc-4-piperidone in the list of scheduled substances; (7 page(s), in English), (3 page(s), in English)</w:t>
            </w:r>
          </w:p>
        </w:tc>
      </w:tr>
      <w:tr w14:paraId="757F5CC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410EC2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40D1D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Regulation adds 4-piperidone and 1-boc-4-piperidone to Category 1 of the list of scheduled substances in Regulation (EC) No 111/2005.</w:t>
            </w:r>
          </w:p>
          <w:p w:rsidR="00FE448B" w:rsidRPr="00C379C8" w:rsidP="002F6A28" w14:paraId="29BDE823" w14:textId="77777777">
            <w:pPr>
              <w:spacing w:before="120" w:after="120"/>
            </w:pPr>
            <w:r w:rsidRPr="00C379C8">
              <w:t>Operators will have the obligation to hold a licence for category 1. They will also have special labelling requirements for any packaging containing this substance according to Article 5 of the Regulation.</w:t>
            </w:r>
          </w:p>
        </w:tc>
      </w:tr>
      <w:tr w14:paraId="3D3B643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2183FB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5183D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4-piperidone and 1-boc-4-piperidone are very suitable precursors for the illicit manufacture of fentanyl and a number of fentanyl analogues, several of which are included in Schedule I of the 1961 Convention, some are also included in Schedule IV of that Convention. The use of these drugs poses significant risk to human health. ; Protection of human health or safety</w:t>
            </w:r>
          </w:p>
        </w:tc>
      </w:tr>
      <w:tr w14:paraId="5C5699F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2A8134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9BB8F2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B6F4E63" w14:textId="77777777">
            <w:pPr>
              <w:spacing w:before="120" w:after="120"/>
            </w:pPr>
            <w:r w:rsidRPr="002F6A28">
              <w:t>Article 12 of the UN Convention against Illicit Traffic in Narcotic Drugs and Psychotropic Substances of 19.12.1988;</w:t>
            </w:r>
          </w:p>
          <w:p w:rsidR="00EE3A11" w:rsidRPr="002F6A28" w:rsidP="007F13E8" w14:paraId="281F24E7" w14:textId="77777777">
            <w:pPr>
              <w:spacing w:before="120" w:after="120"/>
            </w:pPr>
            <w:r w:rsidRPr="002F6A28">
              <w:t xml:space="preserve">Council Regulation (EC) No 111/2005 laying down rules for the monitoring of trade between the Union and </w:t>
            </w:r>
            <w:r w:rsidRPr="002F6A28">
              <w:t>third countries in drug precursors.</w:t>
            </w:r>
          </w:p>
          <w:p w:rsidR="00EE3A11" w:rsidRPr="002F6A28" w:rsidP="007F13E8" w14:paraId="4DD76BFD" w14:textId="77777777">
            <w:pPr>
              <w:spacing w:before="120" w:after="120"/>
            </w:pPr>
            <w:hyperlink r:id="rId6" w:history="1">
              <w:r w:rsidRPr="002F6A28">
                <w:rPr>
                  <w:color w:val="0000FF"/>
                  <w:u w:val="single"/>
                </w:rPr>
                <w:t>http://eur-lex.europa.eu/legal-content/EN/TXT/?qid=1426599802066&amp;uri=CELEX:32005R0111</w:t>
              </w:r>
            </w:hyperlink>
          </w:p>
        </w:tc>
      </w:tr>
      <w:tr w14:paraId="0F080AC8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15E20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313B06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3rd quarter 2025</w:t>
            </w:r>
          </w:p>
          <w:p w:rsidR="00EE3A11" w:rsidRPr="002F6A28" w:rsidP="008953C4" w14:paraId="7563C1A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The provisions will enter into force and apply 20 days after their publication in the Official Journal of the EU.</w:t>
            </w:r>
          </w:p>
        </w:tc>
      </w:tr>
      <w:tr w14:paraId="6C800B3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29248E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030915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3B6E346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073B6413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C7AEE2B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30FA31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European Commission,</w:t>
            </w:r>
          </w:p>
          <w:p w:rsidR="00EE3A11" w:rsidRPr="00A12DDE" w:rsidP="00B16145" w14:paraId="69F171E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EU-TBT Enquiry Point,</w:t>
            </w:r>
          </w:p>
          <w:p w:rsidR="00EE3A11" w:rsidRPr="00A12DDE" w:rsidP="00B16145" w14:paraId="6EAC0AC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 (32) 2 299 80 43,</w:t>
            </w:r>
          </w:p>
          <w:p w:rsidR="00EE3A11" w:rsidRPr="00A12DDE" w:rsidP="00B16145" w14:paraId="592750C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grow-eu-tbt@ec.europa.eu</w:t>
              </w:r>
            </w:hyperlink>
          </w:p>
          <w:p w:rsidR="00EE3A11" w:rsidRPr="00A12DDE" w:rsidP="00B16145" w14:paraId="545301A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The text is available on the EU-TBT Website 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https://technical-barriers-trade.ec.europa.eu/en/home</w:t>
              </w:r>
            </w:hyperlink>
          </w:p>
          <w:p w:rsidR="00EE3A11" w:rsidRPr="00A12DDE" w:rsidP="00B16145" w14:paraId="0F73BE03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https://members.wto.org/crnattachments/2025/TBT/EEC/25_02611_00_e.pdf</w:t>
              </w:r>
            </w:hyperlink>
          </w:p>
          <w:p w:rsidR="00EE3A11" w:rsidRPr="00A12DDE" w:rsidP="00B16145" w14:paraId="664D381A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https://members.wto.org/crnattachments/2025/TBT/EEC/25_02611_01_e.pdf</w:t>
              </w:r>
            </w:hyperlink>
          </w:p>
        </w:tc>
      </w:tr>
    </w:tbl>
    <w:p w:rsidR="00EE3A11" w:rsidRPr="002F6A28" w:rsidP="002F6A28" w14:paraId="0DDE4AE3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B019C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AE860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21B882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19DC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F2601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00D5D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BD6AE2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5028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G/TBT/N/EU/1129</w:t>
    </w:r>
    <w:bookmarkEnd w:id="0"/>
  </w:p>
  <w:p w:rsidR="009239F7" w:rsidRPr="002F6A28" w:rsidP="009239F7" w14:paraId="73379D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7B04B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142DA6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2955F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7CC16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B14A5C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F29C17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6D453F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AA676D5" w14:textId="77777777">
          <w:pPr>
            <w:jc w:val="right"/>
            <w:rPr>
              <w:b/>
              <w:szCs w:val="16"/>
            </w:rPr>
          </w:pPr>
        </w:p>
      </w:tc>
    </w:tr>
    <w:tr w14:paraId="7517BD9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FF0B8C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0ED27A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G/TBT/N/EU/1129</w:t>
          </w:r>
          <w:bookmarkEnd w:id="2"/>
        </w:p>
      </w:tc>
    </w:tr>
    <w:tr w14:paraId="545B96F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D1F87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36C62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4143CE7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8BC27D3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(25-2319)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550A12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A37662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1541E3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31726C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A55BE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6942999">
    <w:abstractNumId w:val="9"/>
  </w:num>
  <w:num w:numId="2" w16cid:durableId="1018385059">
    <w:abstractNumId w:val="7"/>
  </w:num>
  <w:num w:numId="3" w16cid:durableId="1080834109">
    <w:abstractNumId w:val="6"/>
  </w:num>
  <w:num w:numId="4" w16cid:durableId="2042707652">
    <w:abstractNumId w:val="5"/>
  </w:num>
  <w:num w:numId="5" w16cid:durableId="905653218">
    <w:abstractNumId w:val="4"/>
  </w:num>
  <w:num w:numId="6" w16cid:durableId="1393696903">
    <w:abstractNumId w:val="12"/>
  </w:num>
  <w:num w:numId="7" w16cid:durableId="1671105449">
    <w:abstractNumId w:val="11"/>
  </w:num>
  <w:num w:numId="8" w16cid:durableId="651718269">
    <w:abstractNumId w:val="10"/>
  </w:num>
  <w:num w:numId="9" w16cid:durableId="2540484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1254029">
    <w:abstractNumId w:val="13"/>
  </w:num>
  <w:num w:numId="11" w16cid:durableId="677275141">
    <w:abstractNumId w:val="8"/>
  </w:num>
  <w:num w:numId="12" w16cid:durableId="1247570132">
    <w:abstractNumId w:val="3"/>
  </w:num>
  <w:num w:numId="13" w16cid:durableId="103962144">
    <w:abstractNumId w:val="2"/>
  </w:num>
  <w:num w:numId="14" w16cid:durableId="1870945679">
    <w:abstractNumId w:val="1"/>
  </w:num>
  <w:num w:numId="15" w16cid:durableId="1101335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293A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866FC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B4E46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70E45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row-eu-tbt@ec.europa.eu" TargetMode="External" /><Relationship Id="rId6" Type="http://schemas.openxmlformats.org/officeDocument/2006/relationships/hyperlink" Target="http://eur-lex.europa.eu/legal-content/EN/TXT/?qid=1426599802066&amp;uri=CELEX:32005R0111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5/TBT/EEC/25_02611_00_e.pdf" TargetMode="External" /><Relationship Id="rId9" Type="http://schemas.openxmlformats.org/officeDocument/2006/relationships/hyperlink" Target="https://members.wto.org/crnattachments/2025/TBT/EEC/25_02611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2025-04-01T15:00:00Z</dcterms:created>
  <dcterms:modified xsi:type="dcterms:W3CDTF">2025-04-01T15:00:00Z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