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3CFA801" w14:textId="77777777">
      <w:pPr>
        <w:pStyle w:val="Title"/>
        <w:rPr>
          <w:caps w:val="0"/>
          <w:kern w:val="0"/>
        </w:rPr>
      </w:pPr>
      <w:r w:rsidRPr="009D7E91">
        <w:rPr>
          <w:caps w:val="0"/>
          <w:kern w:val="0"/>
        </w:rPr>
        <w:t>NOTIFICATION</w:t>
      </w:r>
    </w:p>
    <w:p w:rsidR="00D67386" w:rsidRPr="009D7E91" w:rsidP="009D7E91" w14:paraId="106D0835" w14:textId="77777777">
      <w:pPr>
        <w:jc w:val="center"/>
      </w:pPr>
      <w:r w:rsidRPr="009D7E91">
        <w:t>La notification suivante est communiquée conformément à l'article 10.6.</w:t>
      </w:r>
    </w:p>
    <w:p w:rsidR="00D67386" w:rsidRPr="009D7E91" w:rsidP="009D7E91" w14:paraId="41E0849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6BAABD25"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5D4A61B3"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0993049F" w14:textId="77777777">
            <w:pPr>
              <w:spacing w:before="120" w:after="120"/>
            </w:pPr>
            <w:r w:rsidRPr="009D7E91">
              <w:rPr>
                <w:b/>
              </w:rPr>
              <w:t>Membre notifiant:</w:t>
            </w:r>
            <w:r w:rsidRPr="009D7E91" w:rsidR="006F55D1">
              <w:t xml:space="preserve"> </w:t>
            </w:r>
            <w:r w:rsidRPr="009D7E91" w:rsidR="006F55D1">
              <w:rPr>
                <w:u w:val="single"/>
              </w:rPr>
              <w:t>BURUNDI</w:t>
            </w:r>
          </w:p>
          <w:p w:rsidR="008D58AD" w:rsidRPr="009D7E91" w:rsidP="009D7E91" w14:paraId="6824ED26" w14:textId="77777777">
            <w:pPr>
              <w:spacing w:after="120"/>
            </w:pPr>
            <w:r w:rsidRPr="009D7E91">
              <w:rPr>
                <w:b/>
              </w:rPr>
              <w:t>Le cas échéant, pouvoirs publics locaux concernés (articles 3.2 et 7.2):</w:t>
            </w:r>
            <w:r w:rsidRPr="009D7E91" w:rsidR="006F55D1">
              <w:t xml:space="preserve"> </w:t>
            </w:r>
          </w:p>
        </w:tc>
      </w:tr>
      <w:tr w14:paraId="6D16B70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0271554"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4669E5BF" w14:textId="77777777">
            <w:pPr>
              <w:spacing w:before="120" w:after="120"/>
              <w:rPr>
                <w:bCs/>
              </w:rPr>
            </w:pPr>
            <w:r w:rsidRPr="009D7E91">
              <w:rPr>
                <w:b/>
              </w:rPr>
              <w:t>Organisme responsable:</w:t>
            </w:r>
            <w:r w:rsidRPr="009D7E91" w:rsidR="006F55D1">
              <w:t xml:space="preserve"> </w:t>
            </w:r>
          </w:p>
          <w:p w:rsidR="006F55D1" w:rsidRPr="009D7E91" w:rsidP="006C14E7" w14:paraId="679FACFF" w14:textId="77777777">
            <w:r w:rsidRPr="009D7E91">
              <w:t xml:space="preserve">Burundi Bureau of Standards and </w:t>
            </w:r>
            <w:r w:rsidRPr="009D7E91">
              <w:t>Quality Control (BBN)</w:t>
            </w:r>
          </w:p>
          <w:p w:rsidR="006F55D1" w:rsidRPr="009D7E91" w:rsidP="006C14E7" w14:paraId="73BC9FF4" w14:textId="77777777">
            <w:r w:rsidRPr="009D7E91">
              <w:t>Boulevard de la Tanzanie N° 500</w:t>
            </w:r>
          </w:p>
          <w:p w:rsidR="006F55D1" w:rsidRPr="009D7E91" w:rsidP="006C14E7" w14:paraId="2651545F" w14:textId="77777777">
            <w:r w:rsidRPr="009D7E91">
              <w:t>BP: 3535 Bujumbura, Burundi</w:t>
            </w:r>
          </w:p>
          <w:p w:rsidR="006F55D1" w:rsidRPr="009D7E91" w:rsidP="006C14E7" w14:paraId="191E7663" w14:textId="77777777">
            <w:r w:rsidRPr="009D7E91">
              <w:t>Tel: +257281045/+25722221577</w:t>
            </w:r>
          </w:p>
          <w:p w:rsidR="006F55D1" w:rsidRPr="009D7E91" w:rsidP="006C14E7" w14:paraId="40B07E72" w14:textId="77777777">
            <w:r w:rsidRPr="009D7E91">
              <w:t xml:space="preserve">E- Mail: </w:t>
            </w:r>
            <w:hyperlink r:id="rId4" w:history="1">
              <w:r w:rsidRPr="009D7E91">
                <w:rPr>
                  <w:color w:val="0000FF"/>
                  <w:u w:val="single"/>
                </w:rPr>
                <w:t>info@bbnburundi.org</w:t>
              </w:r>
            </w:hyperlink>
          </w:p>
          <w:p w:rsidR="006F55D1" w:rsidRPr="009D7E91" w:rsidP="006C14E7" w14:paraId="4DEFA405" w14:textId="77777777">
            <w:pPr>
              <w:spacing w:after="120"/>
            </w:pPr>
            <w:r w:rsidRPr="009D7E91">
              <w:t>Website: www.bbnburundi.org</w:t>
            </w:r>
          </w:p>
          <w:p w:rsidR="008D58AD" w:rsidRPr="009D7E91" w:rsidP="00064E8E" w14:paraId="7D742E07"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tc>
      </w:tr>
      <w:tr w14:paraId="22F9AB7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B797F50"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1F15D0D8" w14:textId="77777777">
            <w:pPr>
              <w:spacing w:before="120" w:after="120"/>
            </w:pPr>
            <w:r w:rsidRPr="009D7E91">
              <w:rPr>
                <w:b/>
              </w:rPr>
              <w:t>Notification au titre de l'article 2.9.2 [X], 2.10.1 [ ], 5.6.2 [X], 5.7.1 [ ],</w:t>
            </w:r>
            <w:r w:rsidR="00D81AFF">
              <w:rPr>
                <w:b/>
              </w:rPr>
              <w:t xml:space="preserve"> 3.2 [ ], 7.2 [ ],</w:t>
            </w:r>
            <w:r w:rsidRPr="009D7E91">
              <w:rPr>
                <w:b/>
              </w:rPr>
              <w:t xml:space="preserve"> autres</w:t>
            </w:r>
            <w:r w:rsidR="00EE5F18">
              <w:rPr>
                <w:b/>
              </w:rPr>
              <w:t>:</w:t>
            </w:r>
            <w:r w:rsidRPr="006717EC" w:rsidR="006717EC">
              <w:t xml:space="preserve"> </w:t>
            </w:r>
          </w:p>
        </w:tc>
      </w:tr>
      <w:tr w14:paraId="00E43F1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F33A229"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5AE0E5FF" w14:textId="77777777">
            <w:pPr>
              <w:spacing w:before="120" w:after="120"/>
            </w:pPr>
            <w:r w:rsidRPr="009D7E91">
              <w:rPr>
                <w:b/>
              </w:rPr>
              <w:t xml:space="preserve">Produits visés (le cas échéant, position du SH ou de la NCCD, </w:t>
            </w:r>
            <w:r w:rsidRPr="009D7E91">
              <w:rPr>
                <w:b/>
              </w:rPr>
              <w:t>sinon position du tarif douanier national.</w:t>
            </w:r>
            <w:r w:rsidRPr="009D7E91" w:rsidR="006F55D1">
              <w:rPr>
                <w:b/>
              </w:rPr>
              <w:t xml:space="preserve"> </w:t>
            </w:r>
            <w:r w:rsidRPr="009D7E91">
              <w:rPr>
                <w:b/>
              </w:rPr>
              <w:t>Les numéros de l'ICS peuvent aussi être indiqués, le cas échéant):</w:t>
            </w:r>
            <w:r w:rsidRPr="009D7E91">
              <w:t xml:space="preserve"> Céréales, légumineuses et produits dérivés (Code(s) de l'ICS: 67.060)</w:t>
            </w:r>
          </w:p>
        </w:tc>
      </w:tr>
      <w:tr w14:paraId="73CDD7F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F54BB21"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009BCB2B" w14:textId="77777777">
            <w:pPr>
              <w:spacing w:before="120" w:after="120"/>
            </w:pPr>
            <w:r w:rsidRPr="009D7E91">
              <w:rPr>
                <w:b/>
              </w:rPr>
              <w:t>Intitulé, nombre de pages et langue(s) du texte notifié:</w:t>
            </w:r>
            <w:r w:rsidRPr="009D7E91" w:rsidR="006F55D1">
              <w:t xml:space="preserve"> Pâtes sans gluten - spécifications; (7 page(s), en français)</w:t>
            </w:r>
          </w:p>
        </w:tc>
      </w:tr>
      <w:tr w14:paraId="0B71235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AE2B9B5"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6FB22C2" w14:textId="77777777">
            <w:pPr>
              <w:spacing w:before="120" w:after="120"/>
            </w:pPr>
            <w:r w:rsidRPr="009D7E91">
              <w:rPr>
                <w:b/>
              </w:rPr>
              <w:t>Teneur:</w:t>
            </w:r>
            <w:r w:rsidRPr="009D7E91" w:rsidR="006F55D1">
              <w:t xml:space="preserve"> Ce projet de norme Burundaise prescrit les exigences, les méthodes d'échantillonnage et d'essai pour les pâtes sans gluten destinées à la consommation humaine</w:t>
            </w:r>
          </w:p>
        </w:tc>
      </w:tr>
      <w:tr w14:paraId="4ADF947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E64FF7F"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53AA6488" w14:textId="77777777">
            <w:pPr>
              <w:spacing w:before="120" w:after="120"/>
            </w:pPr>
            <w:r w:rsidRPr="009D7E91">
              <w:rPr>
                <w:b/>
              </w:rPr>
              <w:t>Objectif et justification, y compris la nature des problèmes urgents, le cas échéant:</w:t>
            </w:r>
            <w:r w:rsidRPr="009D7E91">
              <w:t xml:space="preserve"> </w:t>
            </w:r>
            <w:r w:rsidRPr="009D7E91">
              <w:t>Impératifs de la sécurité nationale; Information des consommateurs, Étiquetage; Prescriptions en matière de qualité</w:t>
            </w:r>
          </w:p>
        </w:tc>
      </w:tr>
      <w:tr w14:paraId="0763BA4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E506C81"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6E5F7CAF" w14:textId="77777777">
            <w:pPr>
              <w:spacing w:before="120" w:after="120"/>
            </w:pPr>
            <w:r w:rsidRPr="009D7E91">
              <w:rPr>
                <w:b/>
              </w:rPr>
              <w:t>Documents pertinents:</w:t>
            </w:r>
            <w:r w:rsidRPr="009D7E91" w:rsidR="006F55D1">
              <w:t xml:space="preserve"> </w:t>
            </w:r>
          </w:p>
          <w:p w:rsidR="006F55D1" w:rsidRPr="009D7E91" w:rsidP="001348DC" w14:paraId="603F2E19" w14:textId="77777777">
            <w:pPr>
              <w:numPr>
                <w:ilvl w:val="0"/>
                <w:numId w:val="17"/>
              </w:numPr>
              <w:spacing w:before="120" w:after="120"/>
            </w:pPr>
            <w:r w:rsidRPr="009D7E91">
              <w:rPr>
                <w:i/>
                <w:iCs/>
              </w:rPr>
              <w:t>NB EAS 38, Norme générale pour l'étiquetage des denrées alimentaires préemballées</w:t>
            </w:r>
          </w:p>
          <w:p w:rsidR="006F55D1" w:rsidRPr="009D7E91" w:rsidP="001348DC" w14:paraId="72D85DE7" w14:textId="77777777">
            <w:pPr>
              <w:numPr>
                <w:ilvl w:val="0"/>
                <w:numId w:val="17"/>
              </w:numPr>
              <w:spacing w:before="120" w:after="120"/>
            </w:pPr>
            <w:r w:rsidRPr="009D7E91">
              <w:rPr>
                <w:i/>
                <w:iCs/>
              </w:rPr>
              <w:t>NB EAS 39, Hygiène dans l'industrie agroalimentaire – Code de bonnes pratiques</w:t>
            </w:r>
          </w:p>
          <w:p w:rsidR="006F55D1" w:rsidRPr="009D7E91" w:rsidP="001348DC" w14:paraId="71976B8A" w14:textId="77777777">
            <w:pPr>
              <w:numPr>
                <w:ilvl w:val="0"/>
                <w:numId w:val="17"/>
              </w:numPr>
              <w:spacing w:before="120" w:after="120"/>
            </w:pPr>
            <w:r w:rsidRPr="009D7E91">
              <w:rPr>
                <w:i/>
                <w:iCs/>
              </w:rPr>
              <w:t>NB EAS 82, Produits à base de céréales moulues — Méthodes d'essai (Méthodes générales)</w:t>
            </w:r>
          </w:p>
          <w:p w:rsidR="006F55D1" w:rsidRPr="009D7E91" w:rsidP="001348DC" w14:paraId="59057A74" w14:textId="77777777">
            <w:pPr>
              <w:numPr>
                <w:ilvl w:val="0"/>
                <w:numId w:val="17"/>
              </w:numPr>
              <w:spacing w:before="120" w:after="120"/>
            </w:pPr>
            <w:r w:rsidRPr="009D7E91">
              <w:rPr>
                <w:i/>
                <w:iCs/>
              </w:rPr>
              <w:t>NB EAS 103, Liste des additifs alimentaires autorisés</w:t>
            </w:r>
          </w:p>
          <w:p w:rsidR="006F55D1" w:rsidRPr="009D7E91" w:rsidP="001348DC" w14:paraId="42378E94" w14:textId="77777777">
            <w:pPr>
              <w:numPr>
                <w:ilvl w:val="0"/>
                <w:numId w:val="17"/>
              </w:numPr>
              <w:spacing w:before="120" w:after="120"/>
            </w:pPr>
            <w:r w:rsidRPr="009D7E91">
              <w:rPr>
                <w:i/>
                <w:iCs/>
              </w:rPr>
              <w:t>NB CODEX STAN 193, Norme générale du Codex pour les contaminants et les toxines dans les aliments destinés à l'alimentation humaine et animale</w:t>
            </w:r>
          </w:p>
          <w:p w:rsidR="006F55D1" w:rsidRPr="009D7E91" w:rsidP="001348DC" w14:paraId="6865A6D2" w14:textId="77777777">
            <w:pPr>
              <w:numPr>
                <w:ilvl w:val="0"/>
                <w:numId w:val="17"/>
              </w:numPr>
              <w:spacing w:before="120" w:after="120"/>
            </w:pPr>
            <w:r w:rsidRPr="009D7E91">
              <w:rPr>
                <w:i/>
                <w:iCs/>
              </w:rPr>
              <w:t>NB ISO 712, Céréales et produits céréaliers — Détermination de la teneur en eau — Méthode de référence de routine</w:t>
            </w:r>
          </w:p>
          <w:p w:rsidR="006F55D1" w:rsidRPr="009D7E91" w:rsidP="001348DC" w14:paraId="1EBDA513" w14:textId="77777777">
            <w:pPr>
              <w:numPr>
                <w:ilvl w:val="0"/>
                <w:numId w:val="17"/>
              </w:numPr>
              <w:spacing w:before="120" w:after="120"/>
            </w:pPr>
            <w:r w:rsidRPr="009D7E91">
              <w:rPr>
                <w:i/>
                <w:iCs/>
              </w:rPr>
              <w:t>NB ISO 2171, Céréales et produits de mouture de céréales — Détermination des cendres totales</w:t>
            </w:r>
          </w:p>
          <w:p w:rsidR="006F55D1" w:rsidRPr="009D7E91" w:rsidP="001348DC" w14:paraId="6C729B1F" w14:textId="77777777">
            <w:pPr>
              <w:numPr>
                <w:ilvl w:val="0"/>
                <w:numId w:val="17"/>
              </w:numPr>
              <w:spacing w:before="120" w:after="120"/>
            </w:pPr>
            <w:r w:rsidRPr="009D7E91">
              <w:rPr>
                <w:i/>
                <w:iCs/>
              </w:rPr>
              <w:t>NB ISO 5498, Produits agricoles alimentaires — Détermination de la teneur en fibres brutes — Méthode générale</w:t>
            </w:r>
          </w:p>
          <w:p w:rsidR="006F55D1" w:rsidRPr="009D7E91" w:rsidP="001348DC" w14:paraId="03B5F092" w14:textId="77777777">
            <w:pPr>
              <w:numPr>
                <w:ilvl w:val="0"/>
                <w:numId w:val="17"/>
              </w:numPr>
              <w:spacing w:before="120" w:after="120"/>
            </w:pPr>
            <w:r w:rsidRPr="009D7E91">
              <w:rPr>
                <w:i/>
                <w:iCs/>
              </w:rPr>
              <w:t>NB ISO 7251, Microbiologie des aliments — Méthode horizontale pour la recherche et le dénombrement des Escherichia coli présumés</w:t>
            </w:r>
          </w:p>
          <w:p w:rsidR="006F55D1" w:rsidRPr="009D7E91" w:rsidP="001348DC" w14:paraId="75DAD1B3" w14:textId="77777777">
            <w:pPr>
              <w:numPr>
                <w:ilvl w:val="0"/>
                <w:numId w:val="17"/>
              </w:numPr>
              <w:spacing w:before="120" w:after="120"/>
            </w:pPr>
            <w:r w:rsidRPr="009D7E91">
              <w:rPr>
                <w:i/>
                <w:iCs/>
              </w:rPr>
              <w:t>— Technique du nombre le plus probable</w:t>
            </w:r>
          </w:p>
          <w:p w:rsidR="006F55D1" w:rsidRPr="009D7E91" w:rsidP="001348DC" w14:paraId="66ABB6DD" w14:textId="77777777">
            <w:pPr>
              <w:numPr>
                <w:ilvl w:val="0"/>
                <w:numId w:val="17"/>
              </w:numPr>
              <w:spacing w:before="120" w:after="120"/>
            </w:pPr>
            <w:r w:rsidRPr="009D7E91">
              <w:rPr>
                <w:i/>
                <w:iCs/>
              </w:rPr>
              <w:t>NB ISO 16050, Produits alimentaires — Détermination de l'aflatoxine B1 et de la teneur totale en aflatoxines B1, B2, G1 et G2 dans les céréales, les fruits à coque et les produits dérivés — Méthode par chromatographie liquide à haute performance</w:t>
            </w:r>
          </w:p>
          <w:p w:rsidR="006F55D1" w:rsidRPr="009D7E91" w:rsidP="001348DC" w14:paraId="6493196B" w14:textId="77777777">
            <w:pPr>
              <w:numPr>
                <w:ilvl w:val="0"/>
                <w:numId w:val="17"/>
              </w:numPr>
              <w:spacing w:before="120" w:after="120"/>
            </w:pPr>
            <w:r w:rsidRPr="009D7E91">
              <w:rPr>
                <w:i/>
                <w:iCs/>
              </w:rPr>
              <w:t>NB ISO 21527</w:t>
            </w:r>
            <w:r w:rsidRPr="009D7E91">
              <w:rPr>
                <w:i/>
                <w:iCs/>
              </w:rPr>
              <w:softHyphen/>
              <w:t>2, Microbiologie des aliments — Méthode horizontale pour le dénombrement des levures et des moisissures — Partie 2 : Technique de comptage des colonies dans les produits dont l'activité de l'eau est inférieure ou égale à 0,95</w:t>
            </w:r>
          </w:p>
          <w:p w:rsidR="006F55D1" w:rsidRPr="009D7E91" w:rsidP="001348DC" w14:paraId="7A43159A" w14:textId="77777777">
            <w:pPr>
              <w:numPr>
                <w:ilvl w:val="0"/>
                <w:numId w:val="17"/>
              </w:numPr>
              <w:spacing w:before="120" w:after="120"/>
            </w:pPr>
            <w:r w:rsidRPr="009D7E91">
              <w:rPr>
                <w:i/>
                <w:iCs/>
              </w:rPr>
              <w:t>NB ISO 24333, Céréales et produits céréaliers — Échantillonnage</w:t>
            </w:r>
          </w:p>
          <w:p w:rsidR="006F55D1" w:rsidRPr="009D7E91" w:rsidP="001348DC" w14:paraId="7AA0BF2F" w14:textId="77777777">
            <w:pPr>
              <w:numPr>
                <w:ilvl w:val="0"/>
                <w:numId w:val="17"/>
              </w:numPr>
              <w:spacing w:before="120" w:after="120"/>
            </w:pPr>
            <w:r w:rsidRPr="009D7E91">
              <w:rPr>
                <w:i/>
                <w:iCs/>
              </w:rPr>
              <w:t>ISO 21415-2</w:t>
            </w:r>
            <w:r w:rsidRPr="009D7E91">
              <w:t xml:space="preserve"> </w:t>
            </w:r>
            <w:r w:rsidRPr="009D7E91">
              <w:rPr>
                <w:i/>
                <w:iCs/>
              </w:rPr>
              <w:t>Détermination du gluten humide et du gluten index par des moyens mécaniques</w:t>
            </w:r>
          </w:p>
          <w:p w:rsidR="006F55D1" w:rsidRPr="009D7E91" w:rsidP="001348DC" w14:paraId="03D3733A" w14:textId="77777777">
            <w:pPr>
              <w:numPr>
                <w:ilvl w:val="0"/>
                <w:numId w:val="17"/>
              </w:numPr>
              <w:spacing w:before="120" w:after="120"/>
            </w:pPr>
            <w:r w:rsidRPr="009D7E91">
              <w:t>ISO 21415-3 spécifie une méthode de détermination de la teneur en gluten sec à partir du gluten humide obtenu comme spécifié dans l'ISO 21415-1 ou dans l'ISO 21415-2</w:t>
            </w:r>
          </w:p>
          <w:p w:rsidR="006F55D1" w:rsidRPr="009D7E91" w:rsidP="001348DC" w14:paraId="61F82301" w14:textId="77777777">
            <w:pPr>
              <w:numPr>
                <w:ilvl w:val="0"/>
                <w:numId w:val="17"/>
              </w:numPr>
              <w:spacing w:before="120" w:after="120"/>
            </w:pPr>
            <w:r w:rsidRPr="009D7E91">
              <w:rPr>
                <w:i/>
                <w:iCs/>
              </w:rPr>
              <w:t>NB CODEX</w:t>
            </w:r>
            <w:r w:rsidRPr="009D7E91">
              <w:t xml:space="preserve"> STAN 192 </w:t>
            </w:r>
            <w:r w:rsidRPr="009D7E91">
              <w:rPr>
                <w:i/>
                <w:iCs/>
              </w:rPr>
              <w:t>Norme générale pour les additifs alimentaires</w:t>
            </w:r>
          </w:p>
        </w:tc>
      </w:tr>
      <w:tr w14:paraId="37B54A48"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17EDF243"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1E73BE39" w14:textId="77777777">
            <w:pPr>
              <w:spacing w:before="120" w:after="120"/>
              <w:ind w:left="34"/>
              <w:rPr>
                <w:bCs/>
              </w:rPr>
            </w:pPr>
            <w:r w:rsidRPr="009D7E91">
              <w:rPr>
                <w:b/>
              </w:rPr>
              <w:t>Date projetée pour l'adoption:</w:t>
            </w:r>
            <w:r w:rsidRPr="009D7E91">
              <w:t xml:space="preserve"> À déterminer</w:t>
            </w:r>
          </w:p>
          <w:p w:rsidR="006F55D1" w:rsidRPr="009D7E91" w:rsidP="009B0524" w14:paraId="595547EE" w14:textId="77777777">
            <w:pPr>
              <w:spacing w:after="120"/>
              <w:ind w:left="34"/>
              <w:rPr>
                <w:b/>
              </w:rPr>
            </w:pPr>
            <w:r w:rsidRPr="009D7E91">
              <w:rPr>
                <w:b/>
              </w:rPr>
              <w:t>Date projetée pour l'entrée en vigueur:</w:t>
            </w:r>
            <w:r w:rsidRPr="009D7E91">
              <w:t xml:space="preserve"> 6 mois après l'adoption</w:t>
            </w:r>
          </w:p>
        </w:tc>
      </w:tr>
      <w:tr w14:paraId="2E29F28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0EF774F"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3DC0F2A8" w14:textId="77777777">
            <w:pPr>
              <w:spacing w:before="120" w:after="120"/>
            </w:pPr>
            <w:r w:rsidRPr="009D7E91">
              <w:rPr>
                <w:b/>
              </w:rPr>
              <w:t>Date limite pour la présentation des observations:</w:t>
            </w:r>
            <w:r w:rsidRPr="009D7E91" w:rsidR="006F55D1">
              <w:t xml:space="preserve"> 60 jours à compter de la date de notification</w:t>
            </w:r>
          </w:p>
        </w:tc>
      </w:tr>
      <w:tr w14:paraId="6A98B9A3"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1A49A9D7"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17056890"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45890C6B" w14:textId="77777777">
            <w:pPr>
              <w:keepNext/>
              <w:keepLines/>
            </w:pPr>
            <w:r w:rsidRPr="009D7E91">
              <w:t>Documentation and Information Centre at BBN</w:t>
            </w:r>
          </w:p>
          <w:p w:rsidR="006F55D1" w:rsidRPr="009D7E91" w:rsidP="00481B71" w14:paraId="35AE2FE0" w14:textId="77777777">
            <w:pPr>
              <w:keepNext/>
              <w:keepLines/>
            </w:pPr>
            <w:r w:rsidRPr="009D7E91">
              <w:t>Boulevard de la Tanzanie N° 500</w:t>
            </w:r>
          </w:p>
          <w:p w:rsidR="006F55D1" w:rsidRPr="009D7E91" w:rsidP="00481B71" w14:paraId="766F7764" w14:textId="77777777">
            <w:pPr>
              <w:keepNext/>
              <w:keepLines/>
            </w:pPr>
            <w:r w:rsidRPr="009D7E91">
              <w:t>BP: 3535 Bujumbura, Burundi</w:t>
            </w:r>
          </w:p>
          <w:p w:rsidR="006F55D1" w:rsidRPr="009D7E91" w:rsidP="00481B71" w14:paraId="2D44416C" w14:textId="77777777">
            <w:pPr>
              <w:keepNext/>
              <w:keepLines/>
            </w:pPr>
            <w:r w:rsidRPr="009D7E91">
              <w:t>Tel: +25722221815 or +25722221577</w:t>
            </w:r>
          </w:p>
          <w:p w:rsidR="006F55D1" w:rsidRPr="009D7E91" w:rsidP="00481B71" w14:paraId="2E8E9D15" w14:textId="77777777">
            <w:pPr>
              <w:keepNext/>
              <w:keepLines/>
            </w:pPr>
            <w:r w:rsidRPr="009D7E91">
              <w:t xml:space="preserve">E- Mail: </w:t>
            </w:r>
            <w:hyperlink r:id="rId4" w:history="1">
              <w:r w:rsidRPr="009D7E91">
                <w:rPr>
                  <w:color w:val="0000FF"/>
                  <w:u w:val="single"/>
                </w:rPr>
                <w:t>info@bbnburundi.org</w:t>
              </w:r>
            </w:hyperlink>
          </w:p>
          <w:p w:rsidR="006F55D1" w:rsidRPr="009D7E91" w:rsidP="00481B71" w14:paraId="302D0818" w14:textId="77777777">
            <w:pPr>
              <w:keepNext/>
              <w:keepLines/>
            </w:pPr>
            <w:r w:rsidRPr="009D7E91">
              <w:t>Website: www.bbnburundi.org</w:t>
            </w:r>
          </w:p>
          <w:p w:rsidR="006F55D1" w:rsidRPr="009D7E91" w:rsidP="00481B71" w14:paraId="4A9C55E9" w14:textId="77777777">
            <w:pPr>
              <w:keepNext/>
              <w:keepLines/>
              <w:pBdr>
                <w:top w:val="none" w:sz="0" w:space="4" w:color="auto"/>
              </w:pBdr>
              <w:spacing w:after="120"/>
            </w:pPr>
            <w:hyperlink r:id="rId5" w:tgtFrame="_blank" w:history="1">
              <w:r w:rsidRPr="009D7E91">
                <w:rPr>
                  <w:color w:val="0000FF"/>
                  <w:u w:val="single"/>
                </w:rPr>
                <w:t>https://members.wto.org/crnattachments/2025/TBT/BDI/25_02564_00_f.pdf</w:t>
              </w:r>
            </w:hyperlink>
          </w:p>
        </w:tc>
      </w:tr>
    </w:tbl>
    <w:p w:rsidR="006F55D1" w:rsidRPr="009D7E91" w:rsidP="009D7E91" w14:paraId="001694EF" w14:textId="77777777"/>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526EEDD"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22136169"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A7C532C"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6B9818B" w14:textId="77777777">
    <w:pPr>
      <w:pStyle w:val="Header"/>
      <w:pBdr>
        <w:bottom w:val="single" w:sz="4" w:space="1" w:color="auto"/>
      </w:pBdr>
      <w:tabs>
        <w:tab w:val="clear" w:pos="4513"/>
        <w:tab w:val="clear" w:pos="9027"/>
      </w:tabs>
      <w:jc w:val="center"/>
    </w:pPr>
    <w:r w:rsidRPr="009D7E91">
      <w:t>tbtSymbol</w:t>
    </w:r>
  </w:p>
  <w:p w:rsidR="00D67386" w:rsidRPr="009D7E91" w:rsidP="00D67386" w14:paraId="75ABA5B5" w14:textId="77777777">
    <w:pPr>
      <w:pStyle w:val="Header"/>
      <w:pBdr>
        <w:bottom w:val="single" w:sz="4" w:space="1" w:color="auto"/>
      </w:pBdr>
      <w:tabs>
        <w:tab w:val="clear" w:pos="4513"/>
        <w:tab w:val="clear" w:pos="9027"/>
      </w:tabs>
      <w:jc w:val="center"/>
    </w:pPr>
  </w:p>
  <w:p w:rsidR="00D67386" w:rsidRPr="009D7E91" w:rsidP="00D67386" w14:paraId="55010664"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235F0B1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5E59F93" w14:textId="77777777">
    <w:pPr>
      <w:pStyle w:val="Header"/>
      <w:pBdr>
        <w:bottom w:val="single" w:sz="4" w:space="1" w:color="auto"/>
      </w:pBdr>
      <w:tabs>
        <w:tab w:val="clear" w:pos="4513"/>
        <w:tab w:val="clear" w:pos="9027"/>
      </w:tabs>
      <w:jc w:val="center"/>
    </w:pPr>
    <w:bookmarkStart w:id="0" w:name="spsSymbolHeader"/>
    <w:r w:rsidRPr="009D7E91">
      <w:t>G/TBT/N/BDI/584</w:t>
    </w:r>
    <w:bookmarkEnd w:id="0"/>
  </w:p>
  <w:p w:rsidR="00D67386" w:rsidRPr="009D7E91" w:rsidP="00D67386" w14:paraId="6527BB18" w14:textId="77777777">
    <w:pPr>
      <w:pStyle w:val="Header"/>
      <w:pBdr>
        <w:bottom w:val="single" w:sz="4" w:space="1" w:color="auto"/>
      </w:pBdr>
      <w:tabs>
        <w:tab w:val="clear" w:pos="4513"/>
        <w:tab w:val="clear" w:pos="9027"/>
      </w:tabs>
      <w:jc w:val="center"/>
    </w:pPr>
  </w:p>
  <w:p w:rsidR="00D67386" w:rsidRPr="009D7E91" w:rsidP="00D67386" w14:paraId="404168C0"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285C70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C98D25"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20C927C2"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6006F3F3" w14:textId="77777777">
          <w:pPr>
            <w:jc w:val="right"/>
            <w:rPr>
              <w:b/>
              <w:color w:val="FF0000"/>
              <w:szCs w:val="18"/>
            </w:rPr>
          </w:pPr>
        </w:p>
      </w:tc>
    </w:tr>
    <w:bookmarkEnd w:id="1"/>
    <w:tr w14:paraId="5292D8A9"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20386C15"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2F97187A" w14:textId="77777777">
          <w:pPr>
            <w:jc w:val="right"/>
            <w:rPr>
              <w:b/>
              <w:szCs w:val="18"/>
            </w:rPr>
          </w:pPr>
        </w:p>
      </w:tc>
    </w:tr>
    <w:tr w14:paraId="27504259"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668EAB27"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0A48D641" w14:textId="77777777">
          <w:pPr>
            <w:jc w:val="right"/>
            <w:rPr>
              <w:b/>
              <w:szCs w:val="18"/>
            </w:rPr>
          </w:pPr>
          <w:bookmarkStart w:id="2" w:name="bmkSymbols"/>
          <w:r w:rsidRPr="009D7E91">
            <w:rPr>
              <w:b/>
              <w:szCs w:val="18"/>
            </w:rPr>
            <w:t>G/TBT/N/BDI/584</w:t>
          </w:r>
          <w:bookmarkEnd w:id="2"/>
        </w:p>
      </w:tc>
    </w:tr>
    <w:tr w14:paraId="7319A328"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4D0E15CA"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3066CED6" w14:textId="77777777">
          <w:pPr>
            <w:jc w:val="right"/>
            <w:rPr>
              <w:szCs w:val="18"/>
            </w:rPr>
          </w:pPr>
          <w:bookmarkStart w:id="3" w:name="spsDateDistribution"/>
          <w:bookmarkStart w:id="4" w:name="bmkDate"/>
          <w:r w:rsidRPr="00D82AF6">
            <w:rPr>
              <w:szCs w:val="18"/>
            </w:rPr>
            <w:t>31 mars 2025</w:t>
          </w:r>
          <w:bookmarkEnd w:id="3"/>
          <w:bookmarkEnd w:id="4"/>
        </w:p>
      </w:tc>
    </w:tr>
    <w:tr w14:paraId="03B23931"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995374F" w14:textId="77777777">
          <w:pPr>
            <w:jc w:val="left"/>
            <w:rPr>
              <w:b/>
              <w:szCs w:val="18"/>
            </w:rPr>
          </w:pPr>
          <w:bookmarkStart w:id="5" w:name="bmkSerial"/>
          <w:r>
            <w:rPr>
              <w:b w:val="0"/>
              <w:color w:val="FF0000"/>
            </w:rPr>
            <w:t>(25-2250)</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C779C41"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72204116"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6748BC87"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C757BEE"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5A6DCAE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4343401">
    <w:abstractNumId w:val="8"/>
  </w:num>
  <w:num w:numId="2" w16cid:durableId="1942838962">
    <w:abstractNumId w:val="3"/>
  </w:num>
  <w:num w:numId="3" w16cid:durableId="409081364">
    <w:abstractNumId w:val="2"/>
  </w:num>
  <w:num w:numId="4" w16cid:durableId="990716585">
    <w:abstractNumId w:val="1"/>
  </w:num>
  <w:num w:numId="5" w16cid:durableId="1183544351">
    <w:abstractNumId w:val="0"/>
  </w:num>
  <w:num w:numId="6" w16cid:durableId="174194749">
    <w:abstractNumId w:val="13"/>
  </w:num>
  <w:num w:numId="7" w16cid:durableId="1843079832">
    <w:abstractNumId w:val="11"/>
  </w:num>
  <w:num w:numId="8" w16cid:durableId="2059235538">
    <w:abstractNumId w:val="14"/>
  </w:num>
  <w:num w:numId="9" w16cid:durableId="1110127220">
    <w:abstractNumId w:val="10"/>
  </w:num>
  <w:num w:numId="10" w16cid:durableId="706679152">
    <w:abstractNumId w:val="9"/>
  </w:num>
  <w:num w:numId="11" w16cid:durableId="671760001">
    <w:abstractNumId w:val="7"/>
  </w:num>
  <w:num w:numId="12" w16cid:durableId="2061973262">
    <w:abstractNumId w:val="6"/>
  </w:num>
  <w:num w:numId="13" w16cid:durableId="803892303">
    <w:abstractNumId w:val="5"/>
  </w:num>
  <w:num w:numId="14" w16cid:durableId="1030497869">
    <w:abstractNumId w:val="4"/>
  </w:num>
  <w:num w:numId="15" w16cid:durableId="157886430">
    <w:abstractNumId w:val="12"/>
  </w:num>
  <w:num w:numId="16" w16cid:durableId="1331256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3929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8F0E4A"/>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3E7"/>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541F5"/>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C3A379"/>
  <w15:docId w15:val="{D7D4B9C9-8255-40F0-A5D2-683F7120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bbnburundi.org" TargetMode="External" /><Relationship Id="rId5" Type="http://schemas.openxmlformats.org/officeDocument/2006/relationships/hyperlink" Target="https://members.wto.org/crnattachments/2025/TBT/BDI/25_02564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2025-03-31T11:26:00Z</dcterms:created>
  <dcterms:modified xsi:type="dcterms:W3CDTF">2025-03-31T11:26:00Z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