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182631E" w14:textId="77777777">
      <w:pPr>
        <w:pStyle w:val="Title"/>
      </w:pPr>
      <w:r w:rsidRPr="002F663C">
        <w:t>NOTIFICATION</w:t>
      </w:r>
    </w:p>
    <w:p w:rsidR="002F663C" w:rsidRPr="002F663C" w:rsidP="00DD3DD7" w14:paraId="1221665E" w14:textId="77777777">
      <w:pPr>
        <w:pStyle w:val="Title3"/>
      </w:pPr>
      <w:r w:rsidRPr="002F663C">
        <w:t>Addendum</w:t>
      </w:r>
    </w:p>
    <w:p w:rsidR="002F663C" w:rsidP="001E2E4A" w14:paraId="2660F047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26 March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China</w:t>
      </w:r>
      <w:r w:rsidRPr="002F663C">
        <w:rPr>
          <w:rFonts w:eastAsia="Calibri" w:cs="Times New Roman"/>
        </w:rPr>
        <w:t>.</w:t>
      </w:r>
    </w:p>
    <w:p w:rsidR="001E2E4A" w:rsidRPr="002F663C" w:rsidP="001E2E4A" w14:paraId="6FEE9C3F" w14:textId="77777777">
      <w:pPr>
        <w:rPr>
          <w:rFonts w:eastAsia="Calibri" w:cs="Times New Roman"/>
        </w:rPr>
      </w:pPr>
    </w:p>
    <w:p w:rsidR="002F663C" w:rsidRPr="002F663C" w:rsidP="002F663C" w14:paraId="2FED0F87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4798496" w14:textId="77777777">
      <w:pPr>
        <w:rPr>
          <w:rFonts w:eastAsia="Calibri" w:cs="Times New Roman"/>
        </w:rPr>
      </w:pPr>
    </w:p>
    <w:p w:rsidR="00C14444" w:rsidRPr="002F663C" w:rsidP="002F663C" w14:paraId="34E04077" w14:textId="77777777">
      <w:pPr>
        <w:rPr>
          <w:rFonts w:eastAsia="Calibri" w:cs="Times New Roman"/>
        </w:rPr>
      </w:pPr>
    </w:p>
    <w:p w:rsidR="002F663C" w:rsidRPr="002F663C" w:rsidP="002F663C" w14:paraId="1A15E422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Amendment No.1 of GB 7512-2023 Valves for liquefied petroleum gas cylinders</w:t>
      </w:r>
    </w:p>
    <w:p w:rsidR="002F663C" w:rsidRPr="002F663C" w:rsidP="002F663C" w14:paraId="54DDAA17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DB13958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56D327F8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 xml:space="preserve">Reason for </w:t>
            </w:r>
            <w:r w:rsidRPr="002F663C">
              <w:rPr>
                <w:rFonts w:eastAsia="Calibri" w:cs="Times New Roman"/>
                <w:b/>
              </w:rPr>
              <w:t>Addendum:</w:t>
            </w:r>
          </w:p>
        </w:tc>
      </w:tr>
      <w:tr w14:paraId="64BD4A5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2F1E68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525586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952FA6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CD9230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120907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736CDA6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F5DEF3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1AF76C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7E0FBB1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202A1A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A00DC4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0092480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C88D0F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7C4B64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377B943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6E29DF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3ED21F7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E0EC3D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D3E793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AF14FD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6914A8B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7EE582FF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In this document, modifications have been made to the weight deviation and electronic readability marking requirements for liquefied petroleum gas cylinder valves, and a regulation has been added that the valve body shall undergo stress-relief heat treatment after processing.</w:t>
            </w:r>
          </w:p>
          <w:p w:rsidR="00082727" w:rsidP="00C14444" w14:paraId="45DF5BEF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https://members.wto.org/crnattachments/2025/TBT/CHN/modification/25_02495_00_x.pdf</w:t>
              </w:r>
            </w:hyperlink>
          </w:p>
          <w:p w:rsidR="002F663C" w:rsidRPr="002F663C" w:rsidP="00C14444" w14:paraId="24D6BDD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5C4652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0BBFF3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073B374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 xml:space="preserve">nterpretive guidance issued and text </w:t>
            </w:r>
            <w:r w:rsidRPr="002F663C">
              <w:rPr>
                <w:rFonts w:eastAsia="Calibri" w:cs="Times New Roman"/>
              </w:rPr>
              <w:t>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D46B20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5A69522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1581528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C293D04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516A74F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In this document, modifications have been made to the weight deviation and electronic </w:t>
      </w:r>
      <w:r w:rsidRPr="002F663C">
        <w:rPr>
          <w:rFonts w:eastAsia="Calibri" w:cs="Times New Roman"/>
          <w:szCs w:val="18"/>
        </w:rPr>
        <w:t>readability marking requirements for liquefied petroleum gas cylinder valves, and a regulation has been added that the valve body shall undergo stress-relief heat treatment after processing.</w:t>
      </w:r>
    </w:p>
    <w:p w:rsidR="006C5A96" w:rsidP="006C5A96" w14:paraId="211D47E9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B5C70AF" w14:textId="77777777">
      <w:pPr>
        <w:jc w:val="center"/>
        <w:rPr>
          <w:b/>
        </w:rPr>
      </w:pPr>
    </w:p>
    <w:p w:rsidR="00A1565D" w:rsidP="003971FF" w14:paraId="245BEEE0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807A583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6B8613A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6C7058E" w14:textId="77777777">
      <w:r>
        <w:separator/>
      </w:r>
    </w:p>
  </w:footnote>
  <w:footnote w:type="continuationSeparator" w:id="1">
    <w:p w:rsidR="004D3A6A" w:rsidP="00ED54E0" w14:paraId="54D88033" w14:textId="77777777">
      <w:r>
        <w:continuationSeparator/>
      </w:r>
    </w:p>
  </w:footnote>
  <w:footnote w:id="2">
    <w:p w:rsidR="007F6EA2" w14:paraId="5B612995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64E26F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F396A6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8B3023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6692FA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371813B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G/TBT/N/CHN/1763/Add.1</w:t>
    </w:r>
    <w:bookmarkEnd w:id="3"/>
  </w:p>
  <w:p w:rsidR="00DD3DD7" w:rsidRPr="00DD3DD7" w:rsidP="00DD3DD7" w14:paraId="31BA0C7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97CB35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4FF87AA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19D1BC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9E8A6EF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D58C57D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D251E77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33EC907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AB2EC6F" w14:textId="77777777">
          <w:pPr>
            <w:jc w:val="right"/>
            <w:rPr>
              <w:b/>
              <w:szCs w:val="16"/>
            </w:rPr>
          </w:pPr>
        </w:p>
      </w:tc>
    </w:tr>
    <w:tr w14:paraId="1E0F7F6C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40E814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3B82C75B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G/TBT/N/CHN/1763/Add.1</w:t>
          </w:r>
          <w:bookmarkEnd w:id="4"/>
        </w:p>
        <w:p w:rsidR="00C14444" w:rsidRPr="00C14444" w:rsidP="00C14444" w14:paraId="2326AEE0" w14:textId="77777777">
          <w:pPr>
            <w:jc w:val="center"/>
            <w:rPr>
              <w:szCs w:val="16"/>
            </w:rPr>
          </w:pPr>
        </w:p>
      </w:tc>
    </w:tr>
    <w:tr w14:paraId="47520E3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39826F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F1C2F5F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27 March 2025</w:t>
          </w:r>
          <w:bookmarkEnd w:id="5"/>
        </w:p>
      </w:tc>
    </w:tr>
    <w:tr w14:paraId="0E5AF0F6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1F8A22F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(25-2203)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A72BA1F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CDC7A2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1DABB99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F5BB931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145D1A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47825312">
    <w:abstractNumId w:val="9"/>
  </w:num>
  <w:num w:numId="2" w16cid:durableId="1690984698">
    <w:abstractNumId w:val="7"/>
  </w:num>
  <w:num w:numId="3" w16cid:durableId="687952646">
    <w:abstractNumId w:val="6"/>
  </w:num>
  <w:num w:numId="4" w16cid:durableId="477963655">
    <w:abstractNumId w:val="5"/>
  </w:num>
  <w:num w:numId="5" w16cid:durableId="793673499">
    <w:abstractNumId w:val="4"/>
  </w:num>
  <w:num w:numId="6" w16cid:durableId="1263075818">
    <w:abstractNumId w:val="12"/>
  </w:num>
  <w:num w:numId="7" w16cid:durableId="1770858034">
    <w:abstractNumId w:val="11"/>
  </w:num>
  <w:num w:numId="8" w16cid:durableId="1564831565">
    <w:abstractNumId w:val="10"/>
  </w:num>
  <w:num w:numId="9" w16cid:durableId="8824478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97940668">
    <w:abstractNumId w:val="13"/>
  </w:num>
  <w:num w:numId="11" w16cid:durableId="863326">
    <w:abstractNumId w:val="8"/>
  </w:num>
  <w:num w:numId="12" w16cid:durableId="174653448">
    <w:abstractNumId w:val="3"/>
  </w:num>
  <w:num w:numId="13" w16cid:durableId="1637368101">
    <w:abstractNumId w:val="2"/>
  </w:num>
  <w:num w:numId="14" w16cid:durableId="1261068636">
    <w:abstractNumId w:val="1"/>
  </w:num>
  <w:num w:numId="15" w16cid:durableId="1096294160">
    <w:abstractNumId w:val="0"/>
  </w:num>
  <w:num w:numId="16" w16cid:durableId="116300906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6118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6378A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41A7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379BD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members.wto.org/crnattachments/2025/TBT/CHN/modification/25_02495_00_x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2025-03-27T11:33:00Z</dcterms:created>
  <dcterms:modified xsi:type="dcterms:W3CDTF">2025-03-27T11:33:00Z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