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09A669E" w14:textId="77777777">
      <w:pPr>
        <w:pStyle w:val="Title"/>
      </w:pPr>
      <w:r w:rsidRPr="002F663C">
        <w:t>NOTIFICATION</w:t>
      </w:r>
    </w:p>
    <w:p w:rsidR="002F663C" w:rsidRPr="002F663C" w:rsidP="00DD3DD7" w14:paraId="2E5F7698" w14:textId="77777777">
      <w:pPr>
        <w:pStyle w:val="Title3"/>
      </w:pPr>
      <w:r w:rsidRPr="002F663C">
        <w:t>Addendum</w:t>
      </w:r>
    </w:p>
    <w:p w:rsidR="002F663C" w:rsidP="001E2E4A" w14:paraId="1F556BB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20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B12957D" w14:textId="77777777">
      <w:pPr>
        <w:rPr>
          <w:rFonts w:eastAsia="Calibri" w:cs="Times New Roman"/>
        </w:rPr>
      </w:pPr>
    </w:p>
    <w:p w:rsidR="002F663C" w:rsidRPr="002F663C" w:rsidP="002F663C" w14:paraId="02FDAADD" w14:textId="77777777">
      <w:pPr>
        <w:jc w:val="center"/>
        <w:rPr>
          <w:rFonts w:eastAsia="Calibri" w:cs="Times New Roman"/>
          <w:b/>
        </w:rPr>
      </w:pPr>
      <w:r w:rsidRPr="002F663C">
        <w:rPr>
          <w:rFonts w:eastAsia="Calibri" w:cs="Times New Roman"/>
          <w:b/>
        </w:rPr>
        <w:t>_______________</w:t>
      </w:r>
    </w:p>
    <w:p w:rsidR="002F663C" w:rsidP="002F663C" w14:paraId="58909A94" w14:textId="77777777">
      <w:pPr>
        <w:rPr>
          <w:rFonts w:eastAsia="Calibri" w:cs="Times New Roman"/>
        </w:rPr>
      </w:pPr>
    </w:p>
    <w:p w:rsidR="00C14444" w:rsidRPr="002F663C" w:rsidP="002F663C" w14:paraId="3E8705BF" w14:textId="77777777">
      <w:pPr>
        <w:rPr>
          <w:rFonts w:eastAsia="Calibri" w:cs="Times New Roman"/>
        </w:rPr>
      </w:pPr>
    </w:p>
    <w:p w:rsidR="002F663C" w:rsidRPr="002F663C" w:rsidP="002F663C" w14:paraId="5CF4430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Climate Protection Program (CPP) 2025 Temporary Rule</w:t>
      </w:r>
    </w:p>
    <w:p w:rsidR="002F663C" w:rsidRPr="002F663C" w:rsidP="002F663C" w14:paraId="21BC7129"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A1FEB4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554DF0E9" w14:textId="77777777">
            <w:pPr>
              <w:spacing w:before="60" w:after="60"/>
              <w:ind w:left="567" w:hanging="567"/>
              <w:rPr>
                <w:rFonts w:eastAsia="Calibri" w:cs="Times New Roman"/>
                <w:b/>
              </w:rPr>
            </w:pPr>
            <w:bookmarkStart w:id="0" w:name="_Hlk24973414"/>
            <w:r w:rsidRPr="002F663C">
              <w:rPr>
                <w:rFonts w:eastAsia="Calibri" w:cs="Times New Roman"/>
                <w:b/>
              </w:rPr>
              <w:t xml:space="preserve">Reason for </w:t>
            </w:r>
            <w:r w:rsidRPr="002F663C">
              <w:rPr>
                <w:rFonts w:eastAsia="Calibri" w:cs="Times New Roman"/>
                <w:b/>
              </w:rPr>
              <w:t>Addendum:</w:t>
            </w:r>
          </w:p>
        </w:tc>
      </w:tr>
      <w:tr w14:paraId="5C575915" w14:textId="77777777" w:rsidTr="00E9471B">
        <w:tblPrEx>
          <w:tblW w:w="9049" w:type="dxa"/>
          <w:tblLayout w:type="fixed"/>
          <w:tblLook w:val="04A0"/>
        </w:tblPrEx>
        <w:tc>
          <w:tcPr>
            <w:tcW w:w="851" w:type="dxa"/>
            <w:shd w:val="clear" w:color="auto" w:fill="auto"/>
          </w:tcPr>
          <w:p w:rsidR="002F663C" w:rsidRPr="00711F9C" w:rsidP="00C14444" w14:paraId="25917AA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91A2DA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10A555B" w14:textId="77777777" w:rsidTr="00E9471B">
        <w:tblPrEx>
          <w:tblW w:w="9049" w:type="dxa"/>
          <w:tblLayout w:type="fixed"/>
          <w:tblLook w:val="04A0"/>
        </w:tblPrEx>
        <w:tc>
          <w:tcPr>
            <w:tcW w:w="851" w:type="dxa"/>
            <w:shd w:val="clear" w:color="auto" w:fill="auto"/>
          </w:tcPr>
          <w:p w:rsidR="002F663C" w:rsidRPr="00711F9C" w:rsidP="00C14444" w14:paraId="1E01518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3A2364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89DF69D" w14:textId="77777777" w:rsidTr="00E9471B">
        <w:tblPrEx>
          <w:tblW w:w="9049" w:type="dxa"/>
          <w:tblLayout w:type="fixed"/>
          <w:tblLook w:val="04A0"/>
        </w:tblPrEx>
        <w:tc>
          <w:tcPr>
            <w:tcW w:w="851" w:type="dxa"/>
            <w:shd w:val="clear" w:color="auto" w:fill="auto"/>
          </w:tcPr>
          <w:p w:rsidR="002F663C" w:rsidRPr="00711F9C" w:rsidP="00C14444" w14:paraId="34796A0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0E5BD5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25AD905" w14:textId="77777777" w:rsidTr="00E9471B">
        <w:tblPrEx>
          <w:tblW w:w="9049" w:type="dxa"/>
          <w:tblLayout w:type="fixed"/>
          <w:tblLook w:val="04A0"/>
        </w:tblPrEx>
        <w:tc>
          <w:tcPr>
            <w:tcW w:w="851" w:type="dxa"/>
            <w:shd w:val="clear" w:color="auto" w:fill="auto"/>
          </w:tcPr>
          <w:p w:rsidR="002F663C" w:rsidRPr="00711F9C" w:rsidP="00C14444" w14:paraId="5F0AEBD4"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41061B87"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11 November 2024</w:t>
            </w:r>
          </w:p>
        </w:tc>
      </w:tr>
      <w:tr w14:paraId="56D6AB18" w14:textId="77777777" w:rsidTr="00E9471B">
        <w:tblPrEx>
          <w:tblW w:w="9049" w:type="dxa"/>
          <w:tblLayout w:type="fixed"/>
          <w:tblLook w:val="04A0"/>
        </w:tblPrEx>
        <w:tc>
          <w:tcPr>
            <w:tcW w:w="851" w:type="dxa"/>
            <w:shd w:val="clear" w:color="auto" w:fill="auto"/>
          </w:tcPr>
          <w:p w:rsidR="002F663C" w:rsidRPr="00711F9C" w:rsidP="00C14444" w14:paraId="12445987"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632B592C"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108D19E" w14:textId="77777777">
            <w:pPr>
              <w:spacing w:before="120" w:after="120"/>
              <w:rPr>
                <w:rFonts w:eastAsia="Calibri" w:cs="Times New Roman"/>
              </w:rPr>
            </w:pPr>
            <w:hyperlink r:id="rId6" w:tgtFrame="_blank" w:history="1">
              <w:r w:rsidRPr="002F663C">
                <w:rPr>
                  <w:rFonts w:eastAsia="Calibri" w:cs="Times New Roman"/>
                  <w:color w:val="0000FF"/>
                  <w:u w:val="single"/>
                </w:rPr>
                <w:t>https://casetext.com/regulation/oregon-administrative-code/chapter-340-department-of-environmental-quality/division-273-oregon-climate-protection-program/section-340-273-0400-generation-of-compliance-instruments</w:t>
              </w:r>
            </w:hyperlink>
          </w:p>
          <w:p w:rsidR="002F663C" w:rsidRPr="002F663C" w:rsidP="00EB7B40" w14:paraId="1A5E4BB4"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https://members.wto.org/crnattachments/2025/TBT/USA/final_measure/25_02350_00_e.pdf</w:t>
              </w:r>
            </w:hyperlink>
          </w:p>
          <w:p w:rsidR="002F663C" w:rsidRPr="002F663C" w:rsidP="00EB7B40" w14:paraId="2E8AFFCC"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https://members.wto.org/crnattachments/2025/TBT/USA/final_measure/25_02350_01_e.pdf</w:t>
              </w:r>
            </w:hyperlink>
          </w:p>
          <w:p w:rsidR="002F663C" w:rsidRPr="002F663C" w:rsidP="00EB7B40" w14:paraId="258412EC" w14:textId="77777777">
            <w:pPr>
              <w:spacing w:before="120" w:after="120"/>
              <w:rPr>
                <w:rFonts w:eastAsia="Calibri" w:cs="Times New Roman"/>
              </w:rPr>
            </w:pPr>
            <w:hyperlink r:id="rId9" w:tgtFrame="_blank" w:history="1">
              <w:r w:rsidRPr="002F663C">
                <w:rPr>
                  <w:rFonts w:eastAsia="Calibri" w:cs="Times New Roman"/>
                  <w:color w:val="0000FF"/>
                  <w:u w:val="single"/>
                </w:rPr>
                <w:t>https://members.wto.org/crnattachments/2025/TBT/USA/final_measure/25_02350_02_e.pdf</w:t>
              </w:r>
            </w:hyperlink>
          </w:p>
        </w:tc>
      </w:tr>
      <w:tr w14:paraId="6CEE1A02" w14:textId="77777777" w:rsidTr="00E9471B">
        <w:tblPrEx>
          <w:tblW w:w="9049" w:type="dxa"/>
          <w:tblLayout w:type="fixed"/>
          <w:tblLook w:val="04A0"/>
        </w:tblPrEx>
        <w:tc>
          <w:tcPr>
            <w:tcW w:w="851" w:type="dxa"/>
            <w:shd w:val="clear" w:color="auto" w:fill="auto"/>
          </w:tcPr>
          <w:p w:rsidR="002F663C" w:rsidRPr="00711F9C" w:rsidP="00C14444" w14:paraId="046E9CE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284F91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254DEA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739124F" w14:textId="77777777" w:rsidTr="00E9471B">
        <w:tblPrEx>
          <w:tblW w:w="9049" w:type="dxa"/>
          <w:tblLayout w:type="fixed"/>
          <w:tblLook w:val="04A0"/>
        </w:tblPrEx>
        <w:tc>
          <w:tcPr>
            <w:tcW w:w="851" w:type="dxa"/>
            <w:shd w:val="clear" w:color="auto" w:fill="auto"/>
          </w:tcPr>
          <w:p w:rsidR="002F663C" w:rsidRPr="00711F9C" w:rsidP="00C14444" w14:paraId="0568B62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D21316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D71864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825C13A" w14:textId="77777777" w:rsidTr="00E9471B">
        <w:tblPrEx>
          <w:tblW w:w="9049" w:type="dxa"/>
          <w:tblLayout w:type="fixed"/>
          <w:tblLook w:val="04A0"/>
        </w:tblPrEx>
        <w:tc>
          <w:tcPr>
            <w:tcW w:w="851" w:type="dxa"/>
            <w:shd w:val="clear" w:color="auto" w:fill="auto"/>
          </w:tcPr>
          <w:p w:rsidR="002F663C" w:rsidRPr="00711F9C" w:rsidP="00C14444" w14:paraId="5380233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5D49A0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22FEA84"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5B72C16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5C71BB6B"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34479FB" w14:textId="77777777">
      <w:pPr>
        <w:jc w:val="left"/>
        <w:rPr>
          <w:rFonts w:eastAsia="Calibri" w:cs="Times New Roman"/>
          <w:highlight w:val="yellow"/>
        </w:rPr>
      </w:pPr>
    </w:p>
    <w:p w:rsidR="003971FF" w:rsidRPr="007F6EA2" w:rsidP="00B16ACF" w14:paraId="05087C9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16 November 2024, the </w:t>
      </w:r>
      <w:hyperlink r:id="rId10" w:history="1">
        <w:r w:rsidRPr="002F663C">
          <w:rPr>
            <w:rFonts w:eastAsia="Calibri" w:cs="Times New Roman"/>
            <w:color w:val="0000FF"/>
            <w:szCs w:val="18"/>
            <w:u w:val="single"/>
          </w:rPr>
          <w:t>Environmental Quality Commission</w:t>
        </w:r>
      </w:hyperlink>
      <w:r w:rsidRPr="002F663C">
        <w:rPr>
          <w:rFonts w:eastAsia="Calibri" w:cs="Times New Roman"/>
          <w:szCs w:val="18"/>
        </w:rPr>
        <w:t xml:space="preserve"> adopted rules to establish the Climate Protection Program in Oregon, as OAR Chapter 340, Division 273. </w:t>
      </w:r>
    </w:p>
    <w:p w:rsidR="006362A5" w:rsidRPr="002F663C" w:rsidP="00B16ACF" w14:paraId="31A03746" w14:textId="77777777">
      <w:pPr>
        <w:spacing w:before="120" w:after="120"/>
        <w:rPr>
          <w:rFonts w:eastAsia="Calibri" w:cs="Times New Roman"/>
          <w:szCs w:val="18"/>
        </w:rPr>
      </w:pPr>
      <w:r w:rsidRPr="002F663C">
        <w:rPr>
          <w:rFonts w:eastAsia="Calibri" w:cs="Times New Roman"/>
          <w:szCs w:val="18"/>
        </w:rPr>
        <w:t xml:space="preserve">On 13 March 2025, the Commission adopted temporary rule OAR-340-273-0400. The temporary rule amendment was needed to implement the correct and intended methodology for the one-time </w:t>
      </w:r>
      <w:r w:rsidRPr="002F663C">
        <w:rPr>
          <w:rFonts w:eastAsia="Calibri" w:cs="Times New Roman"/>
          <w:szCs w:val="18"/>
        </w:rPr>
        <w:t>distribution of additional 2025 compliance instruments. This temporary rule does not introduce any policy changes.</w:t>
      </w:r>
    </w:p>
    <w:p w:rsidR="006362A5" w:rsidRPr="002F663C" w:rsidP="00B16ACF" w14:paraId="6A75356B" w14:textId="77777777">
      <w:pPr>
        <w:spacing w:before="120" w:after="120"/>
        <w:rPr>
          <w:rFonts w:eastAsia="Calibri" w:cs="Times New Roman"/>
          <w:szCs w:val="18"/>
        </w:rPr>
      </w:pPr>
      <w:r w:rsidRPr="002F663C">
        <w:rPr>
          <w:rFonts w:eastAsia="Calibri" w:cs="Times New Roman"/>
          <w:szCs w:val="18"/>
        </w:rPr>
        <w:t xml:space="preserve">Materials for the temporary rulemaking are available on the </w:t>
      </w:r>
      <w:hyperlink r:id="rId11" w:history="1">
        <w:r w:rsidRPr="002F663C">
          <w:rPr>
            <w:rFonts w:eastAsia="Calibri" w:cs="Times New Roman"/>
            <w:color w:val="0000FF"/>
            <w:szCs w:val="18"/>
            <w:u w:val="single"/>
          </w:rPr>
          <w:t>Environmental Quality Commission</w:t>
        </w:r>
      </w:hyperlink>
      <w:r w:rsidRPr="002F663C">
        <w:rPr>
          <w:rFonts w:eastAsia="Calibri" w:cs="Times New Roman"/>
          <w:szCs w:val="18"/>
        </w:rPr>
        <w:t xml:space="preserve"> website.</w:t>
      </w:r>
    </w:p>
    <w:p w:rsidR="006362A5" w:rsidRPr="002F663C" w:rsidP="00B16ACF" w14:paraId="2D8F4488" w14:textId="77777777">
      <w:pPr>
        <w:spacing w:before="120" w:after="120"/>
        <w:rPr>
          <w:rFonts w:eastAsia="Calibri" w:cs="Times New Roman"/>
          <w:szCs w:val="18"/>
        </w:rPr>
      </w:pPr>
      <w:hyperlink r:id="rId12" w:history="1">
        <w:r w:rsidRPr="002F663C">
          <w:rPr>
            <w:rFonts w:eastAsia="Calibri" w:cs="Times New Roman"/>
            <w:b/>
            <w:bCs/>
            <w:color w:val="0000FF"/>
            <w:szCs w:val="18"/>
            <w:u w:val="single"/>
          </w:rPr>
          <w:t>Climate Protection Program Temporary Rules</w:t>
        </w:r>
      </w:hyperlink>
      <w:r w:rsidRPr="002F663C">
        <w:rPr>
          <w:rFonts w:eastAsia="Calibri" w:cs="Times New Roman"/>
          <w:szCs w:val="18"/>
        </w:rPr>
        <w:t xml:space="preserve"> (Action)</w:t>
      </w:r>
    </w:p>
    <w:p w:rsidR="006362A5" w:rsidRPr="002F663C" w:rsidP="00B16ACF" w14:paraId="6C44D624" w14:textId="77777777">
      <w:pPr>
        <w:spacing w:before="120" w:after="120"/>
        <w:rPr>
          <w:rFonts w:eastAsia="Calibri" w:cs="Times New Roman"/>
          <w:szCs w:val="18"/>
        </w:rPr>
      </w:pPr>
      <w:r w:rsidRPr="002F663C">
        <w:rPr>
          <w:rFonts w:eastAsia="Calibri" w:cs="Times New Roman"/>
          <w:szCs w:val="18"/>
        </w:rPr>
        <w:t>The Oregon Department of Environmental Quality (DEQ) proposed a temporary rule amendment to the recently adopted Climate Protection Program. The temporary rule amendment was needed to implement the correct and intended methodology for generating additional 2025 compliance instruments. This temporary rule does not introduce any policy changes.</w:t>
      </w:r>
    </w:p>
    <w:p w:rsidR="006362A5" w:rsidRPr="002F663C" w:rsidP="00B16ACF" w14:paraId="27D820E2" w14:textId="77777777">
      <w:pPr>
        <w:numPr>
          <w:ilvl w:val="0"/>
          <w:numId w:val="17"/>
        </w:numPr>
        <w:spacing w:before="120" w:after="120"/>
        <w:rPr>
          <w:rFonts w:eastAsia="Calibri" w:cs="Times New Roman"/>
          <w:szCs w:val="18"/>
        </w:rPr>
      </w:pPr>
      <w:hyperlink r:id="rId13" w:history="1">
        <w:r w:rsidRPr="002F663C">
          <w:rPr>
            <w:rFonts w:eastAsia="Calibri" w:cs="Times New Roman"/>
            <w:color w:val="0000FF"/>
            <w:szCs w:val="18"/>
            <w:u w:val="single"/>
          </w:rPr>
          <w:t>Attachment A</w:t>
        </w:r>
      </w:hyperlink>
    </w:p>
    <w:p w:rsidR="006362A5" w:rsidRPr="002F663C" w:rsidP="00B16ACF" w14:paraId="2972570B" w14:textId="77777777">
      <w:pPr>
        <w:numPr>
          <w:ilvl w:val="0"/>
          <w:numId w:val="17"/>
        </w:numPr>
        <w:spacing w:before="120" w:after="120"/>
        <w:rPr>
          <w:rFonts w:eastAsia="Calibri" w:cs="Times New Roman"/>
          <w:szCs w:val="18"/>
        </w:rPr>
      </w:pPr>
      <w:hyperlink r:id="rId14" w:history="1">
        <w:r w:rsidRPr="002F663C">
          <w:rPr>
            <w:rFonts w:eastAsia="Calibri" w:cs="Times New Roman"/>
            <w:color w:val="0000FF"/>
            <w:szCs w:val="18"/>
            <w:u w:val="single"/>
          </w:rPr>
          <w:t>Item E Presentation Slides</w:t>
        </w:r>
      </w:hyperlink>
    </w:p>
    <w:p w:rsidR="006362A5" w:rsidRPr="002F663C" w:rsidP="00B16ACF" w14:paraId="22820BC7" w14:textId="77777777">
      <w:pPr>
        <w:spacing w:before="120" w:after="120"/>
        <w:rPr>
          <w:rFonts w:eastAsia="Calibri" w:cs="Times New Roman"/>
          <w:szCs w:val="18"/>
        </w:rPr>
      </w:pPr>
      <w:r w:rsidRPr="002F663C">
        <w:rPr>
          <w:rFonts w:eastAsia="Calibri" w:cs="Times New Roman"/>
          <w:szCs w:val="18"/>
        </w:rPr>
        <w:t>The Climate Protection Program sets an enforceable declining cap on greenhouse gas emissions from fossil fuels used throughout Oregon, including diesel, gasoline, and natural gas. The program is designed to reduce these emissions by 50% by 2035 and 90% by 2050. In addition to significantly reducing climate pollution, the program:</w:t>
      </w:r>
    </w:p>
    <w:p w:rsidR="006362A5" w:rsidRPr="002F663C" w:rsidP="00B16ACF" w14:paraId="720A8F68" w14:textId="77777777">
      <w:pPr>
        <w:numPr>
          <w:ilvl w:val="0"/>
          <w:numId w:val="18"/>
        </w:numPr>
        <w:spacing w:before="120" w:after="120"/>
        <w:rPr>
          <w:rFonts w:eastAsia="Calibri" w:cs="Times New Roman"/>
          <w:szCs w:val="18"/>
        </w:rPr>
      </w:pPr>
      <w:r w:rsidRPr="002F663C">
        <w:rPr>
          <w:rFonts w:eastAsia="Calibri" w:cs="Times New Roman"/>
          <w:szCs w:val="18"/>
        </w:rPr>
        <w:t>Supports reductions in other types of air pollution.</w:t>
      </w:r>
    </w:p>
    <w:p w:rsidR="006362A5" w:rsidRPr="002F663C" w:rsidP="00B16ACF" w14:paraId="1A2C78E0" w14:textId="77777777">
      <w:pPr>
        <w:numPr>
          <w:ilvl w:val="0"/>
          <w:numId w:val="18"/>
        </w:numPr>
        <w:spacing w:before="120" w:after="120"/>
        <w:rPr>
          <w:rFonts w:eastAsia="Calibri" w:cs="Times New Roman"/>
          <w:szCs w:val="18"/>
        </w:rPr>
      </w:pPr>
      <w:r w:rsidRPr="002F663C">
        <w:rPr>
          <w:rFonts w:eastAsia="Calibri" w:cs="Times New Roman"/>
          <w:szCs w:val="18"/>
        </w:rPr>
        <w:t>Improves public health in Oregon communities, particularly environmental justice communities most impacted by pollution and climate change.</w:t>
      </w:r>
    </w:p>
    <w:p w:rsidR="006362A5" w:rsidRPr="002F663C" w:rsidP="00B16ACF" w14:paraId="3725F906" w14:textId="77777777">
      <w:pPr>
        <w:numPr>
          <w:ilvl w:val="0"/>
          <w:numId w:val="18"/>
        </w:numPr>
        <w:spacing w:before="120" w:after="120"/>
        <w:rPr>
          <w:rFonts w:eastAsia="Calibri" w:cs="Times New Roman"/>
          <w:szCs w:val="18"/>
        </w:rPr>
      </w:pPr>
      <w:r w:rsidRPr="002F663C">
        <w:rPr>
          <w:rFonts w:eastAsia="Calibri" w:cs="Times New Roman"/>
          <w:szCs w:val="18"/>
        </w:rPr>
        <w:t>Prioritizes equity by promoting benefits and alleviating burdens for these communities including communities of color, tribal communities, rural communities, and communities experiencing lower incomes.</w:t>
      </w:r>
    </w:p>
    <w:p w:rsidR="006362A5" w:rsidRPr="002F663C" w:rsidP="00B16ACF" w14:paraId="46CF383E" w14:textId="77777777">
      <w:pPr>
        <w:numPr>
          <w:ilvl w:val="0"/>
          <w:numId w:val="18"/>
        </w:numPr>
        <w:spacing w:before="120" w:after="120"/>
        <w:rPr>
          <w:rFonts w:eastAsia="Calibri" w:cs="Times New Roman"/>
          <w:szCs w:val="18"/>
        </w:rPr>
      </w:pPr>
      <w:r w:rsidRPr="002F663C">
        <w:rPr>
          <w:rFonts w:eastAsia="Calibri" w:cs="Times New Roman"/>
          <w:szCs w:val="18"/>
        </w:rPr>
        <w:t>Provides regulated parties with compliance flexibility options to manage their costs.</w:t>
      </w:r>
    </w:p>
    <w:p w:rsidR="006362A5" w:rsidRPr="002F663C" w:rsidP="00B16ACF" w14:paraId="16AD6CEE" w14:textId="77777777">
      <w:pPr>
        <w:numPr>
          <w:ilvl w:val="0"/>
          <w:numId w:val="18"/>
        </w:numPr>
        <w:spacing w:before="120" w:after="120"/>
        <w:rPr>
          <w:rFonts w:eastAsia="Calibri" w:cs="Times New Roman"/>
          <w:szCs w:val="18"/>
        </w:rPr>
      </w:pPr>
      <w:r w:rsidRPr="002F663C">
        <w:rPr>
          <w:rFonts w:eastAsia="Calibri" w:cs="Times New Roman"/>
          <w:szCs w:val="18"/>
        </w:rPr>
        <w:t>Supports a strong economy.</w:t>
      </w:r>
    </w:p>
    <w:p w:rsidR="006362A5" w:rsidRPr="002F663C" w:rsidP="00B16ACF" w14:paraId="1638A81A" w14:textId="77777777">
      <w:pPr>
        <w:spacing w:before="120" w:after="120"/>
        <w:rPr>
          <w:rFonts w:eastAsia="Calibri" w:cs="Times New Roman"/>
          <w:szCs w:val="18"/>
        </w:rPr>
      </w:pPr>
      <w:r w:rsidRPr="002F663C">
        <w:rPr>
          <w:rFonts w:eastAsia="Calibri" w:cs="Times New Roman"/>
          <w:szCs w:val="18"/>
        </w:rPr>
        <w:t xml:space="preserve">Please visit the </w:t>
      </w:r>
      <w:hyperlink r:id="rId15" w:history="1">
        <w:r w:rsidRPr="002F663C">
          <w:rPr>
            <w:rFonts w:eastAsia="Calibri" w:cs="Times New Roman"/>
            <w:color w:val="0000FF"/>
            <w:szCs w:val="18"/>
            <w:u w:val="single"/>
          </w:rPr>
          <w:t>Climate Protection Program website</w:t>
        </w:r>
      </w:hyperlink>
      <w:r w:rsidRPr="002F663C">
        <w:rPr>
          <w:rFonts w:eastAsia="Calibri" w:cs="Times New Roman"/>
          <w:szCs w:val="18"/>
        </w:rPr>
        <w:t xml:space="preserve">, sign up to receive updates </w:t>
      </w:r>
      <w:hyperlink r:id="rId16" w:history="1">
        <w:r w:rsidRPr="002F663C">
          <w:rPr>
            <w:rFonts w:eastAsia="Calibri" w:cs="Times New Roman"/>
            <w:color w:val="0000FF"/>
            <w:szCs w:val="18"/>
            <w:u w:val="single"/>
          </w:rPr>
          <w:t>here</w:t>
        </w:r>
      </w:hyperlink>
      <w:r w:rsidRPr="002F663C">
        <w:rPr>
          <w:rFonts w:eastAsia="Calibri" w:cs="Times New Roman"/>
          <w:szCs w:val="18"/>
        </w:rPr>
        <w:t xml:space="preserve">, or contact the program at </w:t>
      </w:r>
      <w:hyperlink r:id="rId17" w:history="1">
        <w:r w:rsidRPr="002F663C">
          <w:rPr>
            <w:rFonts w:eastAsia="Calibri" w:cs="Times New Roman"/>
            <w:color w:val="0000FF"/>
            <w:szCs w:val="18"/>
            <w:u w:val="single"/>
          </w:rPr>
          <w:t>CPP.INFO@deq.oregon.gov</w:t>
        </w:r>
      </w:hyperlink>
      <w:r w:rsidRPr="002F663C">
        <w:rPr>
          <w:rFonts w:eastAsia="Calibri" w:cs="Times New Roman"/>
          <w:szCs w:val="18"/>
        </w:rPr>
        <w:t xml:space="preserve"> for more information.</w:t>
      </w:r>
    </w:p>
    <w:p w:rsidR="006C5A96" w:rsidP="006C5A96" w14:paraId="1695A56B" w14:textId="77777777">
      <w:pPr>
        <w:jc w:val="center"/>
        <w:rPr>
          <w:b/>
        </w:rPr>
      </w:pPr>
      <w:r w:rsidRPr="003971FF">
        <w:rPr>
          <w:b/>
        </w:rPr>
        <w:t>__________</w:t>
      </w:r>
    </w:p>
    <w:p w:rsidR="004D4D19" w:rsidP="007F38C2" w14:paraId="05F7C7A7" w14:textId="77777777">
      <w:pPr>
        <w:jc w:val="center"/>
        <w:rPr>
          <w:b/>
        </w:rPr>
      </w:pPr>
    </w:p>
    <w:p w:rsidR="00A1565D" w:rsidP="003971FF" w14:paraId="0DB2F39D"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AEAF59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949659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56E1D83" w14:textId="77777777">
      <w:r>
        <w:separator/>
      </w:r>
    </w:p>
  </w:footnote>
  <w:footnote w:type="continuationSeparator" w:id="1">
    <w:p w:rsidR="004D3A6A" w:rsidP="00ED54E0" w14:paraId="76A8888F" w14:textId="77777777">
      <w:r>
        <w:continuationSeparator/>
      </w:r>
    </w:p>
  </w:footnote>
  <w:footnote w:id="2">
    <w:p w:rsidR="007F6EA2" w14:paraId="478D051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40244D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6182F85" w14:textId="77777777">
    <w:pPr>
      <w:pStyle w:val="Header"/>
      <w:pBdr>
        <w:bottom w:val="single" w:sz="4" w:space="1" w:color="auto"/>
      </w:pBdr>
      <w:tabs>
        <w:tab w:val="clear" w:pos="4513"/>
        <w:tab w:val="clear" w:pos="9027"/>
      </w:tabs>
      <w:jc w:val="center"/>
    </w:pPr>
  </w:p>
  <w:p w:rsidR="00DD3DD7" w:rsidRPr="00DD3DD7" w:rsidP="00DD3DD7" w14:paraId="28E3D05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6BD71D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CE2A62F" w14:textId="77777777">
    <w:pPr>
      <w:pStyle w:val="Header"/>
      <w:pBdr>
        <w:bottom w:val="single" w:sz="4" w:space="1" w:color="auto"/>
      </w:pBdr>
      <w:tabs>
        <w:tab w:val="clear" w:pos="4513"/>
        <w:tab w:val="clear" w:pos="9027"/>
      </w:tabs>
      <w:jc w:val="center"/>
    </w:pPr>
    <w:bookmarkStart w:id="3" w:name="spsSymbolHeader"/>
    <w:r w:rsidRPr="00DD3DD7">
      <w:t>G/TBT/N/USA/2046/Rev.1/Add.7</w:t>
    </w:r>
    <w:bookmarkEnd w:id="3"/>
  </w:p>
  <w:p w:rsidR="00DD3DD7" w:rsidRPr="00DD3DD7" w:rsidP="00DD3DD7" w14:paraId="2E0E2D38" w14:textId="77777777">
    <w:pPr>
      <w:pStyle w:val="Header"/>
      <w:pBdr>
        <w:bottom w:val="single" w:sz="4" w:space="1" w:color="auto"/>
      </w:pBdr>
      <w:tabs>
        <w:tab w:val="clear" w:pos="4513"/>
        <w:tab w:val="clear" w:pos="9027"/>
      </w:tabs>
      <w:jc w:val="center"/>
    </w:pPr>
  </w:p>
  <w:p w:rsidR="00DD3DD7" w:rsidRPr="00DD3DD7" w:rsidP="00DD3DD7" w14:paraId="70E9968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C3FD8E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8B8B5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61A43D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8AA2CF4" w14:textId="77777777">
          <w:pPr>
            <w:jc w:val="right"/>
            <w:rPr>
              <w:b/>
              <w:color w:val="FF0000"/>
              <w:szCs w:val="16"/>
            </w:rPr>
          </w:pPr>
          <w:r>
            <w:rPr>
              <w:b/>
              <w:color w:val="FF0000"/>
              <w:szCs w:val="16"/>
            </w:rPr>
            <w:t xml:space="preserve"> </w:t>
          </w:r>
        </w:p>
      </w:tc>
    </w:tr>
    <w:tr w14:paraId="420177D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B6D8EB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50954A8" w14:textId="77777777">
          <w:pPr>
            <w:jc w:val="right"/>
            <w:rPr>
              <w:b/>
              <w:szCs w:val="16"/>
            </w:rPr>
          </w:pPr>
        </w:p>
      </w:tc>
    </w:tr>
    <w:tr w14:paraId="4240B80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D5F3F8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A1528BC" w14:textId="77777777">
          <w:pPr>
            <w:jc w:val="right"/>
            <w:rPr>
              <w:rFonts w:eastAsia="Calibri" w:cs="Times New Roman"/>
              <w:b/>
              <w:szCs w:val="16"/>
            </w:rPr>
          </w:pPr>
          <w:bookmarkStart w:id="4" w:name="bmkSymbols"/>
          <w:r w:rsidRPr="002F663C">
            <w:rPr>
              <w:rFonts w:eastAsia="Calibri" w:cs="Times New Roman"/>
              <w:b/>
              <w:szCs w:val="16"/>
            </w:rPr>
            <w:t>G/TBT/N/USA/2046/Rev.1/Add.7</w:t>
          </w:r>
          <w:bookmarkEnd w:id="4"/>
        </w:p>
        <w:p w:rsidR="00C14444" w:rsidRPr="00C14444" w:rsidP="00C14444" w14:paraId="78C89673" w14:textId="77777777">
          <w:pPr>
            <w:jc w:val="center"/>
            <w:rPr>
              <w:szCs w:val="16"/>
            </w:rPr>
          </w:pPr>
        </w:p>
      </w:tc>
    </w:tr>
    <w:tr w14:paraId="59243A1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7E0E74B" w14:textId="77777777"/>
      </w:tc>
      <w:tc>
        <w:tcPr>
          <w:tcW w:w="5448" w:type="dxa"/>
          <w:gridSpan w:val="2"/>
          <w:shd w:val="clear" w:color="auto" w:fill="FFFFFF"/>
          <w:tcMar>
            <w:left w:w="108" w:type="dxa"/>
            <w:right w:w="108" w:type="dxa"/>
          </w:tcMar>
          <w:vAlign w:val="center"/>
        </w:tcPr>
        <w:p w:rsidR="00ED54E0" w:rsidRPr="00182B84" w:rsidP="00425DC5" w14:paraId="1A1600AA" w14:textId="77777777">
          <w:pPr>
            <w:jc w:val="right"/>
            <w:rPr>
              <w:szCs w:val="16"/>
            </w:rPr>
          </w:pPr>
          <w:bookmarkStart w:id="5" w:name="bmkDate"/>
          <w:r w:rsidRPr="00182B84">
            <w:rPr>
              <w:szCs w:val="16"/>
            </w:rPr>
            <w:t>20 March 2025</w:t>
          </w:r>
          <w:bookmarkEnd w:id="5"/>
        </w:p>
      </w:tc>
    </w:tr>
    <w:tr w14:paraId="26F2E0A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DD69239" w14:textId="77777777">
          <w:pPr>
            <w:jc w:val="left"/>
            <w:rPr>
              <w:b/>
            </w:rPr>
          </w:pPr>
          <w:bookmarkStart w:id="6" w:name="bmkSerial"/>
          <w:r>
            <w:rPr>
              <w:b w:val="0"/>
              <w:color w:val="FF0000"/>
            </w:rPr>
            <w:t>(25-2013)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BB4822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7394DA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EA1142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48ED97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C65961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17509156">
    <w:abstractNumId w:val="9"/>
  </w:num>
  <w:num w:numId="2" w16cid:durableId="240679976">
    <w:abstractNumId w:val="7"/>
  </w:num>
  <w:num w:numId="3" w16cid:durableId="1312638336">
    <w:abstractNumId w:val="6"/>
  </w:num>
  <w:num w:numId="4" w16cid:durableId="1555195238">
    <w:abstractNumId w:val="5"/>
  </w:num>
  <w:num w:numId="5" w16cid:durableId="2088109274">
    <w:abstractNumId w:val="4"/>
  </w:num>
  <w:num w:numId="6" w16cid:durableId="84617670">
    <w:abstractNumId w:val="12"/>
  </w:num>
  <w:num w:numId="7" w16cid:durableId="294063380">
    <w:abstractNumId w:val="11"/>
  </w:num>
  <w:num w:numId="8" w16cid:durableId="1703435449">
    <w:abstractNumId w:val="10"/>
  </w:num>
  <w:num w:numId="9" w16cid:durableId="76024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4896740">
    <w:abstractNumId w:val="13"/>
  </w:num>
  <w:num w:numId="11" w16cid:durableId="127552581">
    <w:abstractNumId w:val="8"/>
  </w:num>
  <w:num w:numId="12" w16cid:durableId="1509979637">
    <w:abstractNumId w:val="3"/>
  </w:num>
  <w:num w:numId="13" w16cid:durableId="1994987393">
    <w:abstractNumId w:val="2"/>
  </w:num>
  <w:num w:numId="14" w16cid:durableId="2130121460">
    <w:abstractNumId w:val="1"/>
  </w:num>
  <w:num w:numId="15" w16cid:durableId="322708245">
    <w:abstractNumId w:val="0"/>
  </w:num>
  <w:num w:numId="16" w16cid:durableId="173542186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526677637">
    <w:abstractNumId w:val="14"/>
  </w:num>
  <w:num w:numId="18" w16cid:durableId="4616518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E6FD7"/>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362A5"/>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35DBF"/>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46D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regon.gov/deq/about-us/eqc/Pages/default.aspx" TargetMode="External" /><Relationship Id="rId11" Type="http://schemas.openxmlformats.org/officeDocument/2006/relationships/hyperlink" Target="https://www.oregon.gov/deq/about-us/eqc/Pages/202503.aspx" TargetMode="External" /><Relationship Id="rId12" Type="http://schemas.openxmlformats.org/officeDocument/2006/relationships/hyperlink" Target="https://ormswd2.synergydcs.com/HPRMWebDrawer/Record/6881000/File/document" TargetMode="External" /><Relationship Id="rId13" Type="http://schemas.openxmlformats.org/officeDocument/2006/relationships/hyperlink" Target="https://ormswd2.synergydcs.com/HPRMWebDrawer/Record/6881001/File/document" TargetMode="External" /><Relationship Id="rId14" Type="http://schemas.openxmlformats.org/officeDocument/2006/relationships/hyperlink" Target="https://ormswd2.synergydcs.com/HPRMWebDrawer/Record/6881427/File/document" TargetMode="External" /><Relationship Id="rId15" Type="http://schemas.openxmlformats.org/officeDocument/2006/relationships/hyperlink" Target="https://www.oregon.gov/deq/ghgp/cpp/Pages/default.aspx" TargetMode="External" /><Relationship Id="rId16" Type="http://schemas.openxmlformats.org/officeDocument/2006/relationships/hyperlink" Target="https://public.govdelivery.com/accounts/ORDEQ/subscriber/new?topic_id=ORDEQ_655" TargetMode="External" /><Relationship Id="rId17" Type="http://schemas.openxmlformats.org/officeDocument/2006/relationships/hyperlink" Target="mailto:CPP.INFO@deq.oregon.gov"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casetext.com/regulation/oregon-administrative-code/chapter-340-department-of-environmental-quality/division-273-oregon-climate-protection-program/section-340-273-0400-generation-of-compliance-instruments" TargetMode="External" /><Relationship Id="rId7" Type="http://schemas.openxmlformats.org/officeDocument/2006/relationships/hyperlink" Target="https://members.wto.org/crnattachments/2025/TBT/USA/final_measure/25_02350_00_e.pdf" TargetMode="External" /><Relationship Id="rId8" Type="http://schemas.openxmlformats.org/officeDocument/2006/relationships/hyperlink" Target="https://members.wto.org/crnattachments/2025/TBT/USA/final_measure/25_02350_01_e.pdf" TargetMode="External" /><Relationship Id="rId9" Type="http://schemas.openxmlformats.org/officeDocument/2006/relationships/hyperlink" Target="https://members.wto.org/crnattachments/2025/TBT/USA/final_measure/25_02350_02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2025-03-20T10:06:00Z</dcterms:created>
  <dcterms:modified xsi:type="dcterms:W3CDTF">2025-03-20T10:06:00Z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