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342D74A" w14:textId="77777777">
      <w:pPr>
        <w:pStyle w:val="Title"/>
      </w:pPr>
      <w:r w:rsidRPr="002F663C">
        <w:t>NOTIFICATION</w:t>
      </w:r>
    </w:p>
    <w:p w:rsidR="002F663C" w:rsidRPr="002F663C" w:rsidP="00DD3DD7" w14:paraId="3649EB34" w14:textId="77777777">
      <w:pPr>
        <w:pStyle w:val="Title3"/>
      </w:pPr>
      <w:r w:rsidRPr="002F663C">
        <w:t>Addendum</w:t>
      </w:r>
    </w:p>
    <w:p w:rsidR="002F663C" w:rsidP="001E2E4A" w14:paraId="4CD1020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946E896" w14:textId="77777777">
      <w:pPr>
        <w:rPr>
          <w:rFonts w:eastAsia="Calibri" w:cs="Times New Roman"/>
        </w:rPr>
      </w:pPr>
    </w:p>
    <w:p w:rsidR="002F663C" w:rsidRPr="002F663C" w:rsidP="002F663C" w14:paraId="00557E84" w14:textId="77777777">
      <w:pPr>
        <w:jc w:val="center"/>
        <w:rPr>
          <w:rFonts w:eastAsia="Calibri" w:cs="Times New Roman"/>
          <w:b/>
        </w:rPr>
      </w:pPr>
      <w:r w:rsidRPr="002F663C">
        <w:rPr>
          <w:rFonts w:eastAsia="Calibri" w:cs="Times New Roman"/>
          <w:b/>
        </w:rPr>
        <w:t>_______________</w:t>
      </w:r>
    </w:p>
    <w:p w:rsidR="002F663C" w:rsidP="002F663C" w14:paraId="6AE32E05" w14:textId="77777777">
      <w:pPr>
        <w:rPr>
          <w:rFonts w:eastAsia="Calibri" w:cs="Times New Roman"/>
        </w:rPr>
      </w:pPr>
    </w:p>
    <w:p w:rsidR="00C14444" w:rsidRPr="002F663C" w:rsidP="002F663C" w14:paraId="28696C22" w14:textId="77777777">
      <w:pPr>
        <w:rPr>
          <w:rFonts w:eastAsia="Calibri" w:cs="Times New Roman"/>
        </w:rPr>
      </w:pPr>
    </w:p>
    <w:p w:rsidR="002F663C" w:rsidRPr="002F663C" w:rsidP="002F663C" w14:paraId="6F660F0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Emergency Alert System; Wireless Emergency Alerts </w:t>
      </w:r>
    </w:p>
    <w:p w:rsidR="002F663C" w:rsidRPr="002F663C" w:rsidP="002F663C" w14:paraId="395B154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9A8D5F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64BEBF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5E09D4D" w14:textId="77777777" w:rsidTr="00E9471B">
        <w:tblPrEx>
          <w:tblW w:w="9049" w:type="dxa"/>
          <w:tblLayout w:type="fixed"/>
          <w:tblLook w:val="04A0"/>
        </w:tblPrEx>
        <w:tc>
          <w:tcPr>
            <w:tcW w:w="851" w:type="dxa"/>
            <w:shd w:val="clear" w:color="auto" w:fill="auto"/>
          </w:tcPr>
          <w:p w:rsidR="002F663C" w:rsidRPr="00711F9C" w:rsidP="00C14444" w14:paraId="3D24962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FA05B7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A0A947E" w14:textId="77777777" w:rsidTr="00E9471B">
        <w:tblPrEx>
          <w:tblW w:w="9049" w:type="dxa"/>
          <w:tblLayout w:type="fixed"/>
          <w:tblLook w:val="04A0"/>
        </w:tblPrEx>
        <w:tc>
          <w:tcPr>
            <w:tcW w:w="851" w:type="dxa"/>
            <w:shd w:val="clear" w:color="auto" w:fill="auto"/>
          </w:tcPr>
          <w:p w:rsidR="002F663C" w:rsidRPr="00711F9C" w:rsidP="00C14444" w14:paraId="14FF3CA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EC5EC6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E4264BA" w14:textId="77777777" w:rsidTr="00E9471B">
        <w:tblPrEx>
          <w:tblW w:w="9049" w:type="dxa"/>
          <w:tblLayout w:type="fixed"/>
          <w:tblLook w:val="04A0"/>
        </w:tblPrEx>
        <w:tc>
          <w:tcPr>
            <w:tcW w:w="851" w:type="dxa"/>
            <w:shd w:val="clear" w:color="auto" w:fill="auto"/>
          </w:tcPr>
          <w:p w:rsidR="002F663C" w:rsidRPr="00711F9C" w:rsidP="00C14444" w14:paraId="72EF694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5A6E23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18 March 2025</w:t>
            </w:r>
          </w:p>
        </w:tc>
      </w:tr>
      <w:tr w14:paraId="7978833B" w14:textId="77777777" w:rsidTr="00E9471B">
        <w:tblPrEx>
          <w:tblW w:w="9049" w:type="dxa"/>
          <w:tblLayout w:type="fixed"/>
          <w:tblLook w:val="04A0"/>
        </w:tblPrEx>
        <w:tc>
          <w:tcPr>
            <w:tcW w:w="851" w:type="dxa"/>
            <w:shd w:val="clear" w:color="auto" w:fill="auto"/>
          </w:tcPr>
          <w:p w:rsidR="002F663C" w:rsidRPr="00711F9C" w:rsidP="00C14444" w14:paraId="641F053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518F4E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September 2025; the definitions of a WEA-capable mobile device and a mobile device for the purpose of WEA (section 10.10(j) through (m)), along with conforming edits (to the introductory text of section 10.500, section 10.500(i) through (j), the introductory text of section 10.520, and the introductory text of section 10.530), will become effective 15 September 2025. The silent alert rules adopted herein (sections 10.490 and 10.530(d)) will become effective 18 Ma</w:t>
            </w:r>
            <w:r w:rsidRPr="002F663C">
              <w:rPr>
                <w:rFonts w:eastAsia="Calibri" w:cs="Times New Roman"/>
              </w:rPr>
              <w:t>rch 2028.</w:t>
            </w:r>
          </w:p>
        </w:tc>
      </w:tr>
      <w:tr w14:paraId="38BF5D9B" w14:textId="77777777" w:rsidTr="00E9471B">
        <w:tblPrEx>
          <w:tblW w:w="9049" w:type="dxa"/>
          <w:tblLayout w:type="fixed"/>
          <w:tblLook w:val="04A0"/>
        </w:tblPrEx>
        <w:tc>
          <w:tcPr>
            <w:tcW w:w="851" w:type="dxa"/>
            <w:shd w:val="clear" w:color="auto" w:fill="auto"/>
          </w:tcPr>
          <w:p w:rsidR="002F663C" w:rsidRPr="00711F9C" w:rsidP="00C14444" w14:paraId="1F4F608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4337CD46"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ECADE48"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https://members.wto.org/crnattachments/2025/TBT/USA/final_measure/25_02317_00_e.pdf</w:t>
              </w:r>
            </w:hyperlink>
          </w:p>
          <w:p w:rsidR="002F663C" w:rsidRPr="002F663C" w:rsidP="00EB7B40" w14:paraId="57BE408E"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https://members.wto.org/crnattachments/2025/TBT/USA/final_measure/25_02317_01_e.pdf</w:t>
              </w:r>
            </w:hyperlink>
          </w:p>
        </w:tc>
      </w:tr>
      <w:tr w14:paraId="3EDACBDE" w14:textId="77777777" w:rsidTr="00E9471B">
        <w:tblPrEx>
          <w:tblW w:w="9049" w:type="dxa"/>
          <w:tblLayout w:type="fixed"/>
          <w:tblLook w:val="04A0"/>
        </w:tblPrEx>
        <w:tc>
          <w:tcPr>
            <w:tcW w:w="851" w:type="dxa"/>
            <w:shd w:val="clear" w:color="auto" w:fill="auto"/>
          </w:tcPr>
          <w:p w:rsidR="002F663C" w:rsidRPr="00711F9C" w:rsidP="00C14444" w14:paraId="2076CAD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8516C0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6AA506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003FA07" w14:textId="77777777" w:rsidTr="00E9471B">
        <w:tblPrEx>
          <w:tblW w:w="9049" w:type="dxa"/>
          <w:tblLayout w:type="fixed"/>
          <w:tblLook w:val="04A0"/>
        </w:tblPrEx>
        <w:tc>
          <w:tcPr>
            <w:tcW w:w="851" w:type="dxa"/>
            <w:shd w:val="clear" w:color="auto" w:fill="auto"/>
          </w:tcPr>
          <w:p w:rsidR="002F663C" w:rsidRPr="00711F9C" w:rsidP="00C14444" w14:paraId="6ACBDEA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A2AD40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8145B6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A2FEAAA" w14:textId="77777777" w:rsidTr="00E9471B">
        <w:tblPrEx>
          <w:tblW w:w="9049" w:type="dxa"/>
          <w:tblLayout w:type="fixed"/>
          <w:tblLook w:val="04A0"/>
        </w:tblPrEx>
        <w:tc>
          <w:tcPr>
            <w:tcW w:w="851" w:type="dxa"/>
            <w:shd w:val="clear" w:color="auto" w:fill="auto"/>
          </w:tcPr>
          <w:p w:rsidR="002F663C" w:rsidRPr="00711F9C" w:rsidP="00C14444" w14:paraId="439BB66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7B29CA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A26D42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B4A403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A8F651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EA625CD" w14:textId="77777777">
      <w:pPr>
        <w:jc w:val="left"/>
        <w:rPr>
          <w:rFonts w:eastAsia="Calibri" w:cs="Times New Roman"/>
          <w:highlight w:val="yellow"/>
        </w:rPr>
      </w:pPr>
    </w:p>
    <w:p w:rsidR="003971FF" w:rsidRPr="007F6EA2" w:rsidP="00B16ACF" w14:paraId="3704FB7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document, the Federal Communications Commission (Commission) revises the Wireless Emergency Alerts </w:t>
      </w:r>
      <w:r w:rsidRPr="002F663C">
        <w:rPr>
          <w:rFonts w:eastAsia="Calibri" w:cs="Times New Roman"/>
          <w:szCs w:val="18"/>
        </w:rPr>
        <w:t xml:space="preserve">(WEA) rules to allow alert originators the option to send ''silent alerts'' that do not trigger WEA's common audio attention signal or vibration cadence. This action grants alert originators greater flexibility in tailoring how WEA messages are presented. Further, to make as clear as possible to the public that any device marketed as a ''WEA-capable mobile device'' </w:t>
      </w:r>
      <w:r w:rsidRPr="002F663C">
        <w:rPr>
          <w:rFonts w:eastAsia="Calibri" w:cs="Times New Roman"/>
          <w:szCs w:val="18"/>
        </w:rPr>
        <w:t>adheres to the full suite of WEA capabilities, the Commission also adopts its proposals to define a ''WEA-capable mobile device,'' for the purpo</w:t>
      </w:r>
      <w:r w:rsidRPr="002F663C">
        <w:rPr>
          <w:rFonts w:eastAsia="Calibri" w:cs="Times New Roman"/>
          <w:szCs w:val="18"/>
        </w:rPr>
        <w:t>se of compliance with the Commission's WEA requirements.</w:t>
      </w:r>
    </w:p>
    <w:p w:rsidR="00EE5BE0" w:rsidRPr="002F663C" w:rsidP="00B16ACF" w14:paraId="552F1350" w14:textId="77777777">
      <w:pPr>
        <w:spacing w:before="120" w:after="120"/>
        <w:rPr>
          <w:rFonts w:eastAsia="Calibri" w:cs="Times New Roman"/>
          <w:szCs w:val="18"/>
        </w:rPr>
      </w:pPr>
      <w:r w:rsidRPr="002F663C">
        <w:rPr>
          <w:rFonts w:eastAsia="Calibri" w:cs="Times New Roman"/>
          <w:szCs w:val="18"/>
        </w:rPr>
        <w:t>The definitions of a WEA-capable mobile device and a mobile device for the purpose of WEA (section 10.10(j) through (m)), along with conforming edits (to the introductory text of section 10.500, section 10.500(i) through (j), the introductory text of section 10.520, and the introductory text of section 10.530), will become effective 15 September 2025. The silent alert rules adopted herein (sections 10.490 and 10.530(d)) will become effective 18 March 2028.</w:t>
      </w:r>
    </w:p>
    <w:p w:rsidR="00EE5BE0" w:rsidRPr="002F663C" w:rsidP="00B16ACF" w14:paraId="0A04C82C" w14:textId="77777777">
      <w:pPr>
        <w:spacing w:before="120" w:after="120"/>
        <w:rPr>
          <w:rFonts w:eastAsia="Calibri" w:cs="Times New Roman"/>
          <w:szCs w:val="18"/>
        </w:rPr>
      </w:pPr>
      <w:r w:rsidRPr="002F663C">
        <w:rPr>
          <w:rFonts w:eastAsia="Calibri" w:cs="Times New Roman"/>
          <w:szCs w:val="18"/>
        </w:rPr>
        <w:t>FCC Makes WEAs More Responsive to Public Safety and Consumer Needs:</w:t>
      </w:r>
    </w:p>
    <w:p w:rsidR="00EE5BE0" w:rsidRPr="002F663C" w:rsidP="00B16ACF" w14:paraId="747FE6DF"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https://www.fcc.gov/document/fcc-makes-weas-more-responsive-public-safety-and-consumer-needs</w:t>
        </w:r>
      </w:hyperlink>
    </w:p>
    <w:p w:rsidR="00EE5BE0" w:rsidRPr="002F663C" w:rsidP="00B16ACF" w14:paraId="69C8DD43" w14:textId="77777777">
      <w:pPr>
        <w:spacing w:before="120" w:after="120"/>
        <w:rPr>
          <w:rFonts w:eastAsia="Calibri" w:cs="Times New Roman"/>
          <w:szCs w:val="18"/>
        </w:rPr>
      </w:pPr>
      <w:r w:rsidRPr="002F663C">
        <w:rPr>
          <w:rFonts w:eastAsia="Calibri" w:cs="Times New Roman"/>
          <w:szCs w:val="18"/>
        </w:rPr>
        <w:t xml:space="preserve">90 Federal Register (FR) 12462, 18 March 2025; </w:t>
      </w:r>
      <w:hyperlink r:id="rId9" w:history="1">
        <w:r w:rsidRPr="002F663C">
          <w:rPr>
            <w:rFonts w:eastAsia="Calibri" w:cs="Times New Roman"/>
            <w:color w:val="0000FF"/>
            <w:szCs w:val="18"/>
            <w:u w:val="single"/>
          </w:rPr>
          <w:t>Title 47 Code of Federal Regulations (CFR) Part 10</w:t>
        </w:r>
      </w:hyperlink>
      <w:r w:rsidRPr="002F663C">
        <w:rPr>
          <w:rFonts w:eastAsia="Calibri" w:cs="Times New Roman"/>
          <w:szCs w:val="18"/>
        </w:rPr>
        <w:t>:</w:t>
      </w:r>
    </w:p>
    <w:p w:rsidR="00EE5BE0" w:rsidRPr="002F663C" w:rsidP="00B16ACF" w14:paraId="59DD550A"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https://www.govinfo.gov/content/pkg/FR-2025-03-18/html/2025-04126.htm</w:t>
        </w:r>
      </w:hyperlink>
    </w:p>
    <w:p w:rsidR="00EE5BE0" w:rsidRPr="002F663C" w:rsidP="00B16ACF" w14:paraId="1B144A96"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https://www.govinfo.gov/content/pkg/FR-2025-03-18/pdf/2025-04126.pdf</w:t>
        </w:r>
      </w:hyperlink>
    </w:p>
    <w:p w:rsidR="00EE5BE0" w:rsidRPr="002F663C" w:rsidP="00B16ACF" w14:paraId="747E09D2"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https://docs.fcc.gov/public/attachments/FCC-25-14A1.pdf</w:t>
        </w:r>
      </w:hyperlink>
    </w:p>
    <w:p w:rsidR="00EE5BE0" w:rsidRPr="002F663C" w:rsidP="00B16ACF" w14:paraId="224BB95F"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3" w:history="1">
        <w:r w:rsidRPr="002F663C">
          <w:rPr>
            <w:rFonts w:eastAsia="Calibri" w:cs="Times New Roman"/>
            <w:color w:val="0000FF"/>
            <w:szCs w:val="18"/>
            <w:u w:val="single"/>
          </w:rPr>
          <w:t>G/TBT/N/USA/2087</w:t>
        </w:r>
      </w:hyperlink>
      <w:r w:rsidRPr="002F663C">
        <w:rPr>
          <w:rFonts w:eastAsia="Calibri" w:cs="Times New Roman"/>
          <w:szCs w:val="18"/>
        </w:rPr>
        <w:t xml:space="preserve"> are identified by PS Docket Nos. </w:t>
      </w:r>
      <w:hyperlink r:id="rId14" w:history="1">
        <w:r w:rsidRPr="002F663C">
          <w:rPr>
            <w:rFonts w:eastAsia="Calibri" w:cs="Times New Roman"/>
            <w:color w:val="0000FF"/>
            <w:szCs w:val="18"/>
            <w:u w:val="single"/>
          </w:rPr>
          <w:t>15-91</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15-94</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FCC 25-14</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FCC 23-88</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FCC 24-83</w:t>
        </w:r>
      </w:hyperlink>
      <w:r w:rsidRPr="002F663C">
        <w:rPr>
          <w:rFonts w:eastAsia="Calibri" w:cs="Times New Roman"/>
          <w:szCs w:val="18"/>
        </w:rPr>
        <w:t xml:space="preserve">. The Docket Folders are available from the FCC's </w:t>
      </w:r>
      <w:hyperlink r:id="rId19"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Filings on and the text of the proceedings are accessible from the FCC's Electronic Comment Filing System (</w:t>
      </w:r>
      <w:hyperlink r:id="rId20" w:history="1">
        <w:r w:rsidRPr="002F663C">
          <w:rPr>
            <w:rFonts w:eastAsia="Calibri" w:cs="Times New Roman"/>
            <w:color w:val="0000FF"/>
            <w:szCs w:val="18"/>
            <w:u w:val="single"/>
          </w:rPr>
          <w:t>ECFS</w:t>
        </w:r>
      </w:hyperlink>
      <w:r w:rsidRPr="002F663C">
        <w:rPr>
          <w:rFonts w:eastAsia="Calibri" w:cs="Times New Roman"/>
          <w:szCs w:val="18"/>
        </w:rPr>
        <w:t xml:space="preserve">) for Dockets </w:t>
      </w:r>
      <w:hyperlink r:id="rId21" w:history="1">
        <w:r w:rsidRPr="002F663C">
          <w:rPr>
            <w:rFonts w:eastAsia="Calibri" w:cs="Times New Roman"/>
            <w:color w:val="0000FF"/>
            <w:szCs w:val="18"/>
            <w:u w:val="single"/>
          </w:rPr>
          <w:t>15-91</w:t>
        </w:r>
      </w:hyperlink>
      <w:r w:rsidRPr="002F663C">
        <w:rPr>
          <w:rFonts w:eastAsia="Calibri" w:cs="Times New Roman"/>
          <w:szCs w:val="18"/>
        </w:rPr>
        <w:t xml:space="preserve"> and </w:t>
      </w:r>
      <w:hyperlink r:id="rId22" w:history="1">
        <w:r w:rsidRPr="002F663C">
          <w:rPr>
            <w:rFonts w:eastAsia="Calibri" w:cs="Times New Roman"/>
            <w:color w:val="0000FF"/>
            <w:szCs w:val="18"/>
            <w:u w:val="single"/>
          </w:rPr>
          <w:t>15-94</w:t>
        </w:r>
      </w:hyperlink>
      <w:r w:rsidRPr="002F663C">
        <w:rPr>
          <w:rFonts w:eastAsia="Calibri" w:cs="Times New Roman"/>
          <w:szCs w:val="18"/>
        </w:rPr>
        <w:t>.</w:t>
      </w:r>
    </w:p>
    <w:p w:rsidR="006C5A96" w:rsidP="006C5A96" w14:paraId="4E13438F" w14:textId="77777777">
      <w:pPr>
        <w:jc w:val="center"/>
        <w:rPr>
          <w:b/>
        </w:rPr>
      </w:pPr>
      <w:r w:rsidRPr="003971FF">
        <w:rPr>
          <w:b/>
        </w:rPr>
        <w:t>__________</w:t>
      </w:r>
    </w:p>
    <w:p w:rsidR="004D4D19" w:rsidP="007F38C2" w14:paraId="54139AD1" w14:textId="77777777">
      <w:pPr>
        <w:jc w:val="center"/>
        <w:rPr>
          <w:b/>
        </w:rPr>
      </w:pPr>
    </w:p>
    <w:p w:rsidR="00A1565D" w:rsidP="003971FF" w14:paraId="0F2723EA" w14:textId="77777777">
      <w:pPr>
        <w:jc w:val="center"/>
        <w:rPr>
          <w:b/>
        </w:rPr>
      </w:pPr>
    </w:p>
    <w:sectPr w:rsidSect="006C5A96">
      <w:headerReference w:type="even" r:id="rId23"/>
      <w:headerReference w:type="default" r:id="rId24"/>
      <w:footerReference w:type="even" r:id="rId25"/>
      <w:footerReference w:type="default" r:id="rId26"/>
      <w:headerReference w:type="first" r:id="rId2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C2079E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9A078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84E8ACC" w14:textId="77777777">
      <w:r>
        <w:separator/>
      </w:r>
    </w:p>
  </w:footnote>
  <w:footnote w:type="continuationSeparator" w:id="1">
    <w:p w:rsidR="004D3A6A" w:rsidP="00ED54E0" w14:paraId="564553EA" w14:textId="77777777">
      <w:r>
        <w:continuationSeparator/>
      </w:r>
    </w:p>
  </w:footnote>
  <w:footnote w:id="2">
    <w:p w:rsidR="007F6EA2" w14:paraId="1A21011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896087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ED005A9" w14:textId="77777777">
    <w:pPr>
      <w:pStyle w:val="Header"/>
      <w:pBdr>
        <w:bottom w:val="single" w:sz="4" w:space="1" w:color="auto"/>
      </w:pBdr>
      <w:tabs>
        <w:tab w:val="clear" w:pos="4513"/>
        <w:tab w:val="clear" w:pos="9027"/>
      </w:tabs>
      <w:jc w:val="center"/>
    </w:pPr>
  </w:p>
  <w:p w:rsidR="00DD3DD7" w:rsidRPr="00DD3DD7" w:rsidP="00DD3DD7" w14:paraId="0D76205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7C2FAC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CBD72D0" w14:textId="77777777">
    <w:pPr>
      <w:pStyle w:val="Header"/>
      <w:pBdr>
        <w:bottom w:val="single" w:sz="4" w:space="1" w:color="auto"/>
      </w:pBdr>
      <w:tabs>
        <w:tab w:val="clear" w:pos="4513"/>
        <w:tab w:val="clear" w:pos="9027"/>
      </w:tabs>
      <w:jc w:val="center"/>
    </w:pPr>
    <w:bookmarkStart w:id="3" w:name="spsSymbolHeader"/>
    <w:r w:rsidRPr="00DD3DD7">
      <w:t>G/TBT/N/USA/2087/Add.3</w:t>
    </w:r>
    <w:bookmarkEnd w:id="3"/>
  </w:p>
  <w:p w:rsidR="00DD3DD7" w:rsidRPr="00DD3DD7" w:rsidP="00DD3DD7" w14:paraId="6AEA6AFA" w14:textId="77777777">
    <w:pPr>
      <w:pStyle w:val="Header"/>
      <w:pBdr>
        <w:bottom w:val="single" w:sz="4" w:space="1" w:color="auto"/>
      </w:pBdr>
      <w:tabs>
        <w:tab w:val="clear" w:pos="4513"/>
        <w:tab w:val="clear" w:pos="9027"/>
      </w:tabs>
      <w:jc w:val="center"/>
    </w:pPr>
  </w:p>
  <w:p w:rsidR="00DD3DD7" w:rsidRPr="00DD3DD7" w:rsidP="00DD3DD7" w14:paraId="3E16FBB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2C3A84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403DF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C87406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BBD9669" w14:textId="77777777">
          <w:pPr>
            <w:jc w:val="right"/>
            <w:rPr>
              <w:b/>
              <w:color w:val="FF0000"/>
              <w:szCs w:val="16"/>
            </w:rPr>
          </w:pPr>
          <w:r>
            <w:rPr>
              <w:b/>
              <w:color w:val="FF0000"/>
              <w:szCs w:val="16"/>
            </w:rPr>
            <w:t xml:space="preserve"> </w:t>
          </w:r>
        </w:p>
      </w:tc>
    </w:tr>
    <w:tr w14:paraId="43F45AF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29533D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0F3CC61" w14:textId="77777777">
          <w:pPr>
            <w:jc w:val="right"/>
            <w:rPr>
              <w:b/>
              <w:szCs w:val="16"/>
            </w:rPr>
          </w:pPr>
        </w:p>
      </w:tc>
    </w:tr>
    <w:tr w14:paraId="4BBB9A2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052724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5F6B847" w14:textId="77777777">
          <w:pPr>
            <w:jc w:val="right"/>
            <w:rPr>
              <w:rFonts w:eastAsia="Calibri" w:cs="Times New Roman"/>
              <w:b/>
              <w:szCs w:val="16"/>
            </w:rPr>
          </w:pPr>
          <w:bookmarkStart w:id="4" w:name="bmkSymbols"/>
          <w:r w:rsidRPr="002F663C">
            <w:rPr>
              <w:rFonts w:eastAsia="Calibri" w:cs="Times New Roman"/>
              <w:b/>
              <w:szCs w:val="16"/>
            </w:rPr>
            <w:t>G/TBT/N/USA/2087/Add.3</w:t>
          </w:r>
          <w:bookmarkEnd w:id="4"/>
        </w:p>
        <w:p w:rsidR="00C14444" w:rsidRPr="00C14444" w:rsidP="00C14444" w14:paraId="25085542" w14:textId="77777777">
          <w:pPr>
            <w:jc w:val="center"/>
            <w:rPr>
              <w:szCs w:val="16"/>
            </w:rPr>
          </w:pPr>
        </w:p>
      </w:tc>
    </w:tr>
    <w:tr w14:paraId="4AB2312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716519D" w14:textId="77777777"/>
      </w:tc>
      <w:tc>
        <w:tcPr>
          <w:tcW w:w="5448" w:type="dxa"/>
          <w:gridSpan w:val="2"/>
          <w:shd w:val="clear" w:color="auto" w:fill="FFFFFF"/>
          <w:tcMar>
            <w:left w:w="108" w:type="dxa"/>
            <w:right w:w="108" w:type="dxa"/>
          </w:tcMar>
          <w:vAlign w:val="center"/>
        </w:tcPr>
        <w:p w:rsidR="00ED54E0" w:rsidRPr="00182B84" w:rsidP="00425DC5" w14:paraId="2E45E6C0" w14:textId="77777777">
          <w:pPr>
            <w:jc w:val="right"/>
            <w:rPr>
              <w:szCs w:val="16"/>
            </w:rPr>
          </w:pPr>
          <w:bookmarkStart w:id="5" w:name="bmkDate"/>
          <w:r w:rsidRPr="00182B84">
            <w:rPr>
              <w:szCs w:val="16"/>
            </w:rPr>
            <w:t>19 March 2025</w:t>
          </w:r>
          <w:bookmarkEnd w:id="5"/>
        </w:p>
      </w:tc>
    </w:tr>
    <w:tr w14:paraId="450A214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115C552" w14:textId="77777777">
          <w:pPr>
            <w:jc w:val="left"/>
            <w:rPr>
              <w:b/>
            </w:rPr>
          </w:pPr>
          <w:bookmarkStart w:id="6" w:name="bmkSerial"/>
          <w:r>
            <w:rPr>
              <w:b w:val="0"/>
              <w:color w:val="FF0000"/>
            </w:rPr>
            <w:t>(25-1990)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B3FAE3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39B336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0ABA9B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499994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40FF0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1113111">
    <w:abstractNumId w:val="9"/>
  </w:num>
  <w:num w:numId="2" w16cid:durableId="1552499804">
    <w:abstractNumId w:val="7"/>
  </w:num>
  <w:num w:numId="3" w16cid:durableId="1964117638">
    <w:abstractNumId w:val="6"/>
  </w:num>
  <w:num w:numId="4" w16cid:durableId="771096619">
    <w:abstractNumId w:val="5"/>
  </w:num>
  <w:num w:numId="5" w16cid:durableId="832061227">
    <w:abstractNumId w:val="4"/>
  </w:num>
  <w:num w:numId="6" w16cid:durableId="1671986639">
    <w:abstractNumId w:val="12"/>
  </w:num>
  <w:num w:numId="7" w16cid:durableId="808672665">
    <w:abstractNumId w:val="11"/>
  </w:num>
  <w:num w:numId="8" w16cid:durableId="1515876875">
    <w:abstractNumId w:val="10"/>
  </w:num>
  <w:num w:numId="9" w16cid:durableId="21311665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083994">
    <w:abstractNumId w:val="13"/>
  </w:num>
  <w:num w:numId="11" w16cid:durableId="1912889717">
    <w:abstractNumId w:val="8"/>
  </w:num>
  <w:num w:numId="12" w16cid:durableId="942374052">
    <w:abstractNumId w:val="3"/>
  </w:num>
  <w:num w:numId="13" w16cid:durableId="1099642890">
    <w:abstractNumId w:val="2"/>
  </w:num>
  <w:num w:numId="14" w16cid:durableId="1157842344">
    <w:abstractNumId w:val="1"/>
  </w:num>
  <w:num w:numId="15" w16cid:durableId="2055808225">
    <w:abstractNumId w:val="0"/>
  </w:num>
  <w:num w:numId="16" w16cid:durableId="160399436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E6FD7"/>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E5BE0"/>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3E4B"/>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999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3-18/html/2025-04126.htm" TargetMode="External" /><Relationship Id="rId11" Type="http://schemas.openxmlformats.org/officeDocument/2006/relationships/hyperlink" Target="https://www.govinfo.gov/content/pkg/FR-2025-03-18/pdf/2025-04126.pdf" TargetMode="External" /><Relationship Id="rId12" Type="http://schemas.openxmlformats.org/officeDocument/2006/relationships/hyperlink" Target="https://docs.fcc.gov/public/attachments/FCC-25-14A1.pdf" TargetMode="External" /><Relationship Id="rId13" Type="http://schemas.openxmlformats.org/officeDocument/2006/relationships/hyperlink" Target="https://eping.wto.org/en/Search?domainIds=1&amp;documentSymbol=usa%2F2087" TargetMode="External" /><Relationship Id="rId14" Type="http://schemas.openxmlformats.org/officeDocument/2006/relationships/hyperlink" Target="https://www.fcc.gov/edocs/search-results?t=quick&amp;dockets=15-91" TargetMode="External" /><Relationship Id="rId15" Type="http://schemas.openxmlformats.org/officeDocument/2006/relationships/hyperlink" Target="https://www.fcc.gov/edocs/search-results?t=quick&amp;dockets=15-94" TargetMode="External" /><Relationship Id="rId16" Type="http://schemas.openxmlformats.org/officeDocument/2006/relationships/hyperlink" Target="https://www.fcc.gov/edocs/search-results?t=quick&amp;fccdaNo=25-14" TargetMode="External" /><Relationship Id="rId17" Type="http://schemas.openxmlformats.org/officeDocument/2006/relationships/hyperlink" Target="https://www.fcc.gov/edocs/search-results?t=quick&amp;fccdaNo=23-88" TargetMode="External" /><Relationship Id="rId18" Type="http://schemas.openxmlformats.org/officeDocument/2006/relationships/hyperlink" Target="https://www.fcc.gov/edocs/search-results?t=quick&amp;fccdaNo=24-83" TargetMode="External" /><Relationship Id="rId19" Type="http://schemas.openxmlformats.org/officeDocument/2006/relationships/hyperlink" Target="https://www.fcc.gov/edocs" TargetMode="External" /><Relationship Id="rId2" Type="http://schemas.openxmlformats.org/officeDocument/2006/relationships/settings" Target="settings.xml" /><Relationship Id="rId20" Type="http://schemas.openxmlformats.org/officeDocument/2006/relationships/hyperlink" Target="https://www.fcc.gov/ecfs/search/search-filings" TargetMode="External" /><Relationship Id="rId21" Type="http://schemas.openxmlformats.org/officeDocument/2006/relationships/hyperlink" Target="https://www.fcc.gov/ecfs/search/search-filings/results?q=(proceedings.name:(%2215-91%22)+AND+%22Wireless%20Emergency%20Alerts%22)" TargetMode="External" /><Relationship Id="rId22" Type="http://schemas.openxmlformats.org/officeDocument/2006/relationships/hyperlink" Target="https://www.fcc.gov/ecfs/search/search-filings/results?q=(proceedings.name:(%2215-94%22)+AND+%22Wireless%20Emergency%20Alerts%22)"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2317_00_e.pdf" TargetMode="External" /><Relationship Id="rId7" Type="http://schemas.openxmlformats.org/officeDocument/2006/relationships/hyperlink" Target="https://members.wto.org/crnattachments/2025/TBT/USA/final_measure/25_02317_01_e.pdf" TargetMode="External" /><Relationship Id="rId8" Type="http://schemas.openxmlformats.org/officeDocument/2006/relationships/hyperlink" Target="https://www.fcc.gov/document/fcc-makes-weas-more-responsive-public-safety-and-consumer-needs" TargetMode="External" /><Relationship Id="rId9" Type="http://schemas.openxmlformats.org/officeDocument/2006/relationships/hyperlink" Target="https://www.ecfr.gov/current/title-47/chapter-I/subchapter-A/part-1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2025-03-19T09:55:00Z</dcterms:created>
  <dcterms:modified xsi:type="dcterms:W3CDTF">2025-03-19T09:55:00Z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