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D5E9107" w14:textId="77777777">
      <w:pPr>
        <w:pStyle w:val="Title"/>
      </w:pPr>
      <w:r w:rsidRPr="002F663C">
        <w:t>NOTIFICATION</w:t>
      </w:r>
    </w:p>
    <w:p w:rsidR="002F663C" w:rsidRPr="002F663C" w:rsidP="00DD3DD7" w14:paraId="3FEEA85D" w14:textId="77777777">
      <w:pPr>
        <w:pStyle w:val="Title3"/>
      </w:pPr>
      <w:r w:rsidRPr="002F663C">
        <w:t>Addendum</w:t>
      </w:r>
    </w:p>
    <w:p w:rsidR="002F663C" w:rsidP="001E2E4A" w14:paraId="41BDC410"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14 March 2025,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rPr>
        <w:t xml:space="preserve">the </w:t>
      </w:r>
      <w:r w:rsidRPr="002F663C">
        <w:rPr>
          <w:rFonts w:eastAsia="Calibri" w:cs="Times New Roman"/>
          <w:u w:val="single"/>
        </w:rPr>
        <w:t>United States of America</w:t>
      </w:r>
      <w:r w:rsidRPr="002F663C">
        <w:rPr>
          <w:rFonts w:eastAsia="Calibri" w:cs="Times New Roman"/>
        </w:rPr>
        <w:t>.</w:t>
      </w:r>
    </w:p>
    <w:p w:rsidR="001E2E4A" w:rsidRPr="002F663C" w:rsidP="001E2E4A" w14:paraId="28177035" w14:textId="77777777">
      <w:pPr>
        <w:rPr>
          <w:rFonts w:eastAsia="Calibri" w:cs="Times New Roman"/>
        </w:rPr>
      </w:pPr>
    </w:p>
    <w:p w:rsidR="002F663C" w:rsidRPr="002F663C" w:rsidP="002F663C" w14:paraId="2638654A" w14:textId="77777777">
      <w:pPr>
        <w:jc w:val="center"/>
        <w:rPr>
          <w:rFonts w:eastAsia="Calibri" w:cs="Times New Roman"/>
          <w:b/>
        </w:rPr>
      </w:pPr>
      <w:r w:rsidRPr="002F663C">
        <w:rPr>
          <w:rFonts w:eastAsia="Calibri" w:cs="Times New Roman"/>
          <w:b/>
        </w:rPr>
        <w:t>_______________</w:t>
      </w:r>
    </w:p>
    <w:p w:rsidR="002F663C" w:rsidP="002F663C" w14:paraId="5C929F06" w14:textId="77777777">
      <w:pPr>
        <w:rPr>
          <w:rFonts w:eastAsia="Calibri" w:cs="Times New Roman"/>
        </w:rPr>
      </w:pPr>
    </w:p>
    <w:p w:rsidR="00C14444" w:rsidRPr="002F663C" w:rsidP="002F663C" w14:paraId="7FEB8C88" w14:textId="77777777">
      <w:pPr>
        <w:rPr>
          <w:rFonts w:eastAsia="Calibri" w:cs="Times New Roman"/>
        </w:rPr>
      </w:pPr>
    </w:p>
    <w:p w:rsidR="002F663C" w:rsidRPr="002F663C" w:rsidP="002F663C" w14:paraId="0A7B3811"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Energy Conservation Program: Proposed Determination of </w:t>
      </w:r>
      <w:r w:rsidRPr="00022513">
        <w:rPr>
          <w:rFonts w:eastAsia="Calibri" w:cs="Times New Roman"/>
          <w:bCs/>
          <w:szCs w:val="18"/>
        </w:rPr>
        <w:t>Miscellaneous Gas Products as a Covered Consumer Product</w:t>
      </w:r>
    </w:p>
    <w:p w:rsidR="002F663C" w:rsidRPr="002F663C" w:rsidP="002F663C" w14:paraId="3422A4FD"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64828A88"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shd w:val="clear" w:color="auto" w:fill="auto"/>
          </w:tcPr>
          <w:p w:rsidR="002F663C" w:rsidRPr="002F663C" w:rsidP="00C14444" w14:paraId="30205C52"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5A5D8408" w14:textId="77777777" w:rsidTr="00E9471B">
        <w:tblPrEx>
          <w:tblW w:w="9049" w:type="dxa"/>
          <w:tblLayout w:type="fixed"/>
          <w:tblLook w:val="04A0"/>
        </w:tblPrEx>
        <w:tc>
          <w:tcPr>
            <w:tcW w:w="851" w:type="dxa"/>
            <w:shd w:val="clear" w:color="auto" w:fill="auto"/>
          </w:tcPr>
          <w:p w:rsidR="002F663C" w:rsidRPr="00711F9C" w:rsidP="00C14444" w14:paraId="7F096DF3"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shd w:val="clear" w:color="auto" w:fill="auto"/>
          </w:tcPr>
          <w:p w:rsidR="002F663C" w:rsidRPr="002F663C" w:rsidP="00EB7B40" w14:paraId="27CC0EB8"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14 April 2025</w:t>
            </w:r>
          </w:p>
        </w:tc>
      </w:tr>
      <w:tr w14:paraId="4DB424AB" w14:textId="77777777" w:rsidTr="00E9471B">
        <w:tblPrEx>
          <w:tblW w:w="9049" w:type="dxa"/>
          <w:tblLayout w:type="fixed"/>
          <w:tblLook w:val="04A0"/>
        </w:tblPrEx>
        <w:tc>
          <w:tcPr>
            <w:tcW w:w="851" w:type="dxa"/>
            <w:shd w:val="clear" w:color="auto" w:fill="auto"/>
          </w:tcPr>
          <w:p w:rsidR="002F663C" w:rsidRPr="00711F9C" w:rsidP="00C14444" w14:paraId="509F02EB"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7F3FCD4E"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561051E5" w14:textId="77777777" w:rsidTr="00E9471B">
        <w:tblPrEx>
          <w:tblW w:w="9049" w:type="dxa"/>
          <w:tblLayout w:type="fixed"/>
          <w:tblLook w:val="04A0"/>
        </w:tblPrEx>
        <w:tc>
          <w:tcPr>
            <w:tcW w:w="851" w:type="dxa"/>
            <w:shd w:val="clear" w:color="auto" w:fill="auto"/>
          </w:tcPr>
          <w:p w:rsidR="002F663C" w:rsidRPr="00711F9C" w:rsidP="00C14444" w14:paraId="12EF8D5D"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B0EE914"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0164F280" w14:textId="77777777" w:rsidTr="00E9471B">
        <w:tblPrEx>
          <w:tblW w:w="9049" w:type="dxa"/>
          <w:tblLayout w:type="fixed"/>
          <w:tblLook w:val="04A0"/>
        </w:tblPrEx>
        <w:tc>
          <w:tcPr>
            <w:tcW w:w="851" w:type="dxa"/>
            <w:shd w:val="clear" w:color="auto" w:fill="auto"/>
          </w:tcPr>
          <w:p w:rsidR="002F663C" w:rsidRPr="00711F9C" w:rsidP="00C14444" w14:paraId="4B22AFC8"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0CBE7396"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58197941" w14:textId="77777777" w:rsidTr="00E9471B">
        <w:tblPrEx>
          <w:tblW w:w="9049" w:type="dxa"/>
          <w:tblLayout w:type="fixed"/>
          <w:tblLook w:val="04A0"/>
        </w:tblPrEx>
        <w:tc>
          <w:tcPr>
            <w:tcW w:w="851" w:type="dxa"/>
            <w:shd w:val="clear" w:color="auto" w:fill="auto"/>
          </w:tcPr>
          <w:p w:rsidR="002F663C" w:rsidRPr="00711F9C" w:rsidP="00C14444" w14:paraId="18B7C409"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5CE85533"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60E2CE87" w14:textId="77777777" w:rsidTr="00E9471B">
        <w:tblPrEx>
          <w:tblW w:w="9049" w:type="dxa"/>
          <w:tblLayout w:type="fixed"/>
          <w:tblLook w:val="04A0"/>
        </w:tblPrEx>
        <w:tc>
          <w:tcPr>
            <w:tcW w:w="851" w:type="dxa"/>
            <w:shd w:val="clear" w:color="auto" w:fill="auto"/>
          </w:tcPr>
          <w:p w:rsidR="002F663C" w:rsidRPr="00711F9C" w:rsidP="00C14444" w14:paraId="644D8E2C"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EB7B40" w14:paraId="0E542CD7"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4E48FB70"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0F0FE807" w14:textId="77777777" w:rsidTr="00E9471B">
        <w:tblPrEx>
          <w:tblW w:w="9049" w:type="dxa"/>
          <w:tblLayout w:type="fixed"/>
          <w:tblLook w:val="04A0"/>
        </w:tblPrEx>
        <w:tc>
          <w:tcPr>
            <w:tcW w:w="851" w:type="dxa"/>
            <w:shd w:val="clear" w:color="auto" w:fill="auto"/>
          </w:tcPr>
          <w:p w:rsidR="002F663C" w:rsidRPr="00711F9C" w:rsidP="00C14444" w14:paraId="7819FEE2" w14:textId="77777777">
            <w:pPr>
              <w:spacing w:before="60" w:after="60"/>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C14444" w14:paraId="18542F3F"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70A54333"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79E1D912" w14:textId="77777777" w:rsidTr="00E9471B">
        <w:tblPrEx>
          <w:tblW w:w="9049" w:type="dxa"/>
          <w:tblLayout w:type="fixed"/>
          <w:tblLook w:val="04A0"/>
        </w:tblPrEx>
        <w:tc>
          <w:tcPr>
            <w:tcW w:w="851" w:type="dxa"/>
            <w:shd w:val="clear" w:color="auto" w:fill="auto"/>
          </w:tcPr>
          <w:p w:rsidR="002F663C" w:rsidRPr="00711F9C" w:rsidP="00C14444" w14:paraId="7045089E"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shd w:val="clear" w:color="auto" w:fill="auto"/>
          </w:tcPr>
          <w:p w:rsidR="002F663C" w:rsidRPr="002F663C" w:rsidP="00D95F69" w14:paraId="23687875"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1C75EE6C" w14:textId="77777777" w:rsidTr="00E9471B">
        <w:tblPrEx>
          <w:tblW w:w="9049" w:type="dxa"/>
          <w:tblLayout w:type="fixed"/>
          <w:tblLook w:val="04A0"/>
        </w:tblPrEx>
        <w:tc>
          <w:tcPr>
            <w:tcW w:w="851" w:type="dxa"/>
            <w:tcBorders>
              <w:bottom w:val="double" w:sz="4" w:space="0" w:color="auto"/>
            </w:tcBorders>
            <w:shd w:val="clear" w:color="auto" w:fill="auto"/>
          </w:tcPr>
          <w:p w:rsidR="002F663C" w:rsidRPr="00711F9C" w:rsidP="00C14444" w14:paraId="68518D0F" w14:textId="77777777">
            <w:pPr>
              <w:spacing w:before="60" w:after="60"/>
              <w:ind w:left="567" w:hanging="567"/>
              <w:rPr>
                <w:rFonts w:eastAsia="Calibri" w:cs="Times New Roman"/>
                <w:szCs w:val="18"/>
              </w:rPr>
            </w:pPr>
            <w:r w:rsidRPr="00711F9C">
              <w:rPr>
                <w:rFonts w:eastAsia="Calibri" w:cs="Times New Roman"/>
                <w:szCs w:val="18"/>
              </w:rPr>
              <w:t>[X]</w:t>
            </w:r>
          </w:p>
        </w:tc>
        <w:tc>
          <w:tcPr>
            <w:tcW w:w="8198" w:type="dxa"/>
            <w:tcBorders>
              <w:bottom w:val="double" w:sz="4" w:space="0" w:color="auto"/>
            </w:tcBorders>
            <w:shd w:val="clear" w:color="auto" w:fill="auto"/>
          </w:tcPr>
          <w:p w:rsidR="002F663C" w:rsidRPr="002F663C" w:rsidP="00EB7B40" w14:paraId="1B9D6CAA" w14:textId="77777777">
            <w:pPr>
              <w:spacing w:before="60" w:after="12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p w:rsidR="00467A46" w:rsidP="00EB7B40" w14:paraId="015E8509" w14:textId="77777777">
            <w:pPr>
              <w:spacing w:before="120" w:after="120"/>
              <w:rPr>
                <w:rFonts w:eastAsia="Calibri" w:cs="Times New Roman"/>
              </w:rPr>
            </w:pPr>
            <w:r>
              <w:rPr>
                <w:rFonts w:eastAsia="Calibri" w:cs="Times New Roman"/>
              </w:rPr>
              <w:t>Notice of proposed rule; proposed withdrawal of determination. Written comments, data, and information are requested and will be accepted on or before 14 April 2025.</w:t>
            </w:r>
          </w:p>
          <w:p w:rsidR="00467A46" w:rsidP="00EB7B40" w14:paraId="2222647E" w14:textId="77777777">
            <w:pPr>
              <w:spacing w:before="120" w:after="120"/>
              <w:rPr>
                <w:rFonts w:eastAsia="Calibri" w:cs="Times New Roman"/>
              </w:rPr>
            </w:pPr>
            <w:hyperlink r:id="rId6" w:tgtFrame="_blank" w:history="1">
              <w:r>
                <w:rPr>
                  <w:rFonts w:eastAsia="Calibri" w:cs="Times New Roman"/>
                  <w:color w:val="0000FF"/>
                  <w:u w:val="single"/>
                </w:rPr>
                <w:t>https://members.wto.org/crnattachments/2025/TBT/USA/25_02136_00_e.pdf</w:t>
              </w:r>
            </w:hyperlink>
          </w:p>
        </w:tc>
      </w:tr>
      <w:bookmarkEnd w:id="0"/>
    </w:tbl>
    <w:p w:rsidR="002F663C" w:rsidRPr="002F663C" w:rsidP="002F663C" w14:paraId="7348707F" w14:textId="77777777">
      <w:pPr>
        <w:jc w:val="left"/>
        <w:rPr>
          <w:rFonts w:eastAsia="Calibri" w:cs="Times New Roman"/>
          <w:highlight w:val="yellow"/>
        </w:rPr>
      </w:pPr>
    </w:p>
    <w:p w:rsidR="003971FF" w:rsidRPr="007F6EA2" w:rsidP="00B16ACF" w14:paraId="3D10B6BB"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As part of its implementation of the Executive Order, ''Unleashing American Energy'' (20 January 2025), the U.S. Department of Energy (''DOE'') is reviewing existing agency actions to ensure, among other things, that all regulatory requirements related to energy are grounded in clearly applicable law and that the American people's freedom to choose from a variety of goods and appliances is not restricted. As a result of this review, DOE is proposing to withdraw its prior determination that </w:t>
      </w:r>
      <w:hyperlink r:id="rId7" w:history="1">
        <w:r w:rsidRPr="002F663C">
          <w:rPr>
            <w:rFonts w:eastAsia="Calibri" w:cs="Times New Roman"/>
            <w:color w:val="0000FF"/>
            <w:szCs w:val="18"/>
            <w:u w:val="single"/>
          </w:rPr>
          <w:t>miscellaneous gas products (''MGPs'')</w:t>
        </w:r>
      </w:hyperlink>
      <w:r w:rsidRPr="002F663C">
        <w:rPr>
          <w:rFonts w:eastAsia="Calibri" w:cs="Times New Roman"/>
          <w:szCs w:val="18"/>
        </w:rPr>
        <w:t xml:space="preserve">, which are comprised of decorative hearths and outdoor heaters, qualify as covered products under Part A of Title III of the Energy Policy and Conservation Act, as amended (''EPCA''). After further consideration of the relevant statutory authority and available information, DOE is proposing to withdraw its determination that MGPs are </w:t>
      </w:r>
      <w:r w:rsidRPr="002F663C">
        <w:rPr>
          <w:rFonts w:eastAsia="Calibri" w:cs="Times New Roman"/>
          <w:szCs w:val="18"/>
        </w:rPr>
        <w:t>covered products under EPCA for which DOE is authorized to establish test procedures and energy conservation standards.</w:t>
      </w:r>
    </w:p>
    <w:p w:rsidR="00903DDC" w:rsidRPr="002F663C" w:rsidP="00B16ACF" w14:paraId="453EE618" w14:textId="77777777">
      <w:pPr>
        <w:spacing w:before="120" w:after="120"/>
        <w:rPr>
          <w:rFonts w:eastAsia="Calibri" w:cs="Times New Roman"/>
          <w:szCs w:val="18"/>
        </w:rPr>
      </w:pPr>
      <w:r w:rsidRPr="002F663C">
        <w:rPr>
          <w:rFonts w:eastAsia="Calibri" w:cs="Times New Roman"/>
          <w:szCs w:val="18"/>
        </w:rPr>
        <w:t>Written comments, data, and information are requested and will be accepted on or before 14 April 2025.</w:t>
      </w:r>
    </w:p>
    <w:p w:rsidR="00903DDC" w:rsidRPr="002F663C" w:rsidP="00B16ACF" w14:paraId="190E0F79" w14:textId="77777777">
      <w:pPr>
        <w:spacing w:before="120" w:after="120"/>
        <w:rPr>
          <w:rFonts w:eastAsia="Calibri" w:cs="Times New Roman"/>
          <w:szCs w:val="18"/>
        </w:rPr>
      </w:pPr>
      <w:r w:rsidRPr="002F663C">
        <w:rPr>
          <w:rFonts w:eastAsia="Calibri" w:cs="Times New Roman"/>
          <w:szCs w:val="18"/>
        </w:rPr>
        <w:t>90 Federal Register (FR) 11908, 13 March 2025:</w:t>
      </w:r>
    </w:p>
    <w:p w:rsidR="00903DDC" w:rsidRPr="002F663C" w:rsidP="00B16ACF" w14:paraId="4B7445E3" w14:textId="77777777">
      <w:pPr>
        <w:spacing w:before="120" w:after="120"/>
        <w:rPr>
          <w:rFonts w:eastAsia="Calibri" w:cs="Times New Roman"/>
          <w:szCs w:val="18"/>
        </w:rPr>
      </w:pPr>
      <w:hyperlink r:id="rId8" w:history="1">
        <w:r w:rsidRPr="002F663C">
          <w:rPr>
            <w:rFonts w:eastAsia="Calibri" w:cs="Times New Roman"/>
            <w:color w:val="0000FF"/>
            <w:szCs w:val="18"/>
            <w:u w:val="single"/>
          </w:rPr>
          <w:t>https://www.govinfo.gov/content/pkg/FR-2025-03-13/html/2025-03839.htm</w:t>
        </w:r>
      </w:hyperlink>
    </w:p>
    <w:p w:rsidR="00903DDC" w:rsidRPr="002F663C" w:rsidP="00B16ACF" w14:paraId="46A9E065" w14:textId="77777777">
      <w:pPr>
        <w:spacing w:before="120" w:after="120"/>
        <w:rPr>
          <w:rFonts w:eastAsia="Calibri" w:cs="Times New Roman"/>
          <w:szCs w:val="18"/>
        </w:rPr>
      </w:pPr>
      <w:hyperlink r:id="rId9" w:history="1">
        <w:r w:rsidRPr="002F663C">
          <w:rPr>
            <w:rFonts w:eastAsia="Calibri" w:cs="Times New Roman"/>
            <w:color w:val="0000FF"/>
            <w:szCs w:val="18"/>
            <w:u w:val="single"/>
          </w:rPr>
          <w:t>https://www.govinfo.gov/content/pkg/FR-2025-03-13/pdf/2025-03839.pdf</w:t>
        </w:r>
      </w:hyperlink>
    </w:p>
    <w:p w:rsidR="00903DDC" w:rsidRPr="002F663C" w:rsidP="00B16ACF" w14:paraId="7E124EBD" w14:textId="77777777">
      <w:pPr>
        <w:spacing w:before="120" w:after="120"/>
        <w:rPr>
          <w:rFonts w:eastAsia="Calibri" w:cs="Times New Roman"/>
          <w:szCs w:val="18"/>
        </w:rPr>
      </w:pPr>
      <w:r w:rsidRPr="002F663C">
        <w:rPr>
          <w:rFonts w:eastAsia="Calibri" w:cs="Times New Roman"/>
          <w:szCs w:val="18"/>
        </w:rPr>
        <w:t xml:space="preserve">This action is identified by Docket Number EERE-2025-BT-DET-0002. The Docket Folder is available on Regulations.gov at </w:t>
      </w:r>
      <w:hyperlink r:id="rId10" w:history="1">
        <w:r w:rsidRPr="002F663C">
          <w:rPr>
            <w:rFonts w:eastAsia="Calibri" w:cs="Times New Roman"/>
            <w:color w:val="0000FF"/>
            <w:szCs w:val="18"/>
            <w:u w:val="single"/>
          </w:rPr>
          <w:t>https://www.regulations.gov/docket/EERE-2025-BT-DET-0002/document</w:t>
        </w:r>
      </w:hyperlink>
      <w:r w:rsidRPr="002F663C">
        <w:rPr>
          <w:rFonts w:eastAsia="Calibri" w:cs="Times New Roman"/>
          <w:szCs w:val="18"/>
        </w:rPr>
        <w:t xml:space="preserve"> and provides access to primary documents as well as comments received. Documents are also accessible from </w:t>
      </w:r>
      <w:hyperlink r:id="rId11"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 WTO Members and their stakeholders are asked to submit comments to the </w:t>
      </w:r>
      <w:hyperlink r:id="rId12" w:history="1">
        <w:r w:rsidRPr="002F663C">
          <w:rPr>
            <w:rFonts w:eastAsia="Calibri" w:cs="Times New Roman"/>
            <w:color w:val="0000FF"/>
            <w:szCs w:val="18"/>
            <w:u w:val="single"/>
          </w:rPr>
          <w:t>USA TBT Enquiry Point</w:t>
        </w:r>
      </w:hyperlink>
      <w:r w:rsidRPr="002F663C">
        <w:rPr>
          <w:rFonts w:eastAsia="Calibri" w:cs="Times New Roman"/>
          <w:szCs w:val="18"/>
        </w:rPr>
        <w:t xml:space="preserve">. Comments received by the USA TBT Enquiry Point from WTO Members and their stakeholders by </w:t>
      </w:r>
      <w:hyperlink r:id="rId13" w:history="1">
        <w:r w:rsidRPr="002F663C">
          <w:rPr>
            <w:rFonts w:eastAsia="Calibri" w:cs="Times New Roman"/>
            <w:color w:val="0000FF"/>
            <w:szCs w:val="18"/>
            <w:u w:val="single"/>
          </w:rPr>
          <w:t>4pm</w:t>
        </w:r>
      </w:hyperlink>
      <w:r w:rsidRPr="002F663C">
        <w:rPr>
          <w:rFonts w:eastAsia="Calibri" w:cs="Times New Roman"/>
          <w:szCs w:val="18"/>
        </w:rPr>
        <w:t xml:space="preserve"> </w:t>
      </w:r>
      <w:hyperlink r:id="rId14" w:history="1">
        <w:r w:rsidRPr="002F663C">
          <w:rPr>
            <w:rFonts w:eastAsia="Calibri" w:cs="Times New Roman"/>
            <w:color w:val="0000FF"/>
            <w:szCs w:val="18"/>
            <w:u w:val="single"/>
          </w:rPr>
          <w:t>Eastern Time</w:t>
        </w:r>
      </w:hyperlink>
      <w:r w:rsidRPr="002F663C">
        <w:rPr>
          <w:rFonts w:eastAsia="Calibri" w:cs="Times New Roman"/>
          <w:szCs w:val="18"/>
        </w:rPr>
        <w:t xml:space="preserve"> on 14 April 2025 will be shared with DOE and will also be submitted to the </w:t>
      </w:r>
      <w:hyperlink r:id="rId10" w:history="1">
        <w:r w:rsidRPr="002F663C">
          <w:rPr>
            <w:rFonts w:eastAsia="Calibri" w:cs="Times New Roman"/>
            <w:color w:val="0000FF"/>
            <w:szCs w:val="18"/>
            <w:u w:val="single"/>
          </w:rPr>
          <w:t>Docket</w:t>
        </w:r>
      </w:hyperlink>
      <w:r w:rsidRPr="002F663C">
        <w:rPr>
          <w:rFonts w:eastAsia="Calibri" w:cs="Times New Roman"/>
          <w:szCs w:val="18"/>
        </w:rPr>
        <w:t xml:space="preserve"> on Regulations.gov if received within the comment period.</w:t>
      </w:r>
    </w:p>
    <w:p w:rsidR="00903DDC" w:rsidRPr="002F663C" w:rsidP="00B16ACF" w14:paraId="1F63B6E0" w14:textId="77777777">
      <w:pPr>
        <w:spacing w:before="120" w:after="120"/>
        <w:rPr>
          <w:rFonts w:eastAsia="Calibri" w:cs="Times New Roman"/>
          <w:szCs w:val="18"/>
        </w:rPr>
      </w:pPr>
      <w:r w:rsidRPr="002F663C">
        <w:rPr>
          <w:rFonts w:eastAsia="Calibri" w:cs="Times New Roman"/>
          <w:szCs w:val="18"/>
        </w:rPr>
        <w:t xml:space="preserve">The notification of proposed determination and request for comment notified as </w:t>
      </w:r>
      <w:hyperlink r:id="rId15" w:history="1">
        <w:r w:rsidRPr="002F663C">
          <w:rPr>
            <w:rFonts w:eastAsia="Calibri" w:cs="Times New Roman"/>
            <w:color w:val="0000FF"/>
            <w:szCs w:val="18"/>
            <w:u w:val="single"/>
          </w:rPr>
          <w:t>G/TBT/N/USA/1833</w:t>
        </w:r>
      </w:hyperlink>
      <w:r w:rsidRPr="002F663C">
        <w:rPr>
          <w:rFonts w:eastAsia="Calibri" w:cs="Times New Roman"/>
          <w:szCs w:val="18"/>
        </w:rPr>
        <w:t xml:space="preserve"> and the final rule and the final determination notified as </w:t>
      </w:r>
      <w:hyperlink r:id="rId16" w:history="1">
        <w:r w:rsidRPr="002F663C">
          <w:rPr>
            <w:rFonts w:eastAsia="Calibri" w:cs="Times New Roman"/>
            <w:color w:val="0000FF"/>
            <w:szCs w:val="18"/>
            <w:u w:val="single"/>
          </w:rPr>
          <w:t>G/TBT/N/USA/1833/Add.2</w:t>
        </w:r>
      </w:hyperlink>
      <w:r w:rsidRPr="002F663C">
        <w:rPr>
          <w:rFonts w:eastAsia="Calibri" w:cs="Times New Roman"/>
          <w:szCs w:val="18"/>
        </w:rPr>
        <w:t xml:space="preserve"> are identified by Docket Number EERE-2021-BT-DET-0034. The Docket Folder is available on Regulations.gov at </w:t>
      </w:r>
      <w:hyperlink r:id="rId17" w:history="1">
        <w:r w:rsidRPr="002F663C">
          <w:rPr>
            <w:rFonts w:eastAsia="Calibri" w:cs="Times New Roman"/>
            <w:color w:val="0000FF"/>
            <w:szCs w:val="18"/>
            <w:u w:val="single"/>
          </w:rPr>
          <w:t>https://www.regulations.gov/docket/EERE-2021-BT-DET-0034/document</w:t>
        </w:r>
      </w:hyperlink>
      <w:r w:rsidRPr="002F663C">
        <w:rPr>
          <w:rFonts w:eastAsia="Calibri" w:cs="Times New Roman"/>
          <w:szCs w:val="18"/>
        </w:rPr>
        <w:t xml:space="preserve"> and provides access to primary documents as well as comments received. Documents are also accessible from </w:t>
      </w:r>
      <w:hyperlink r:id="rId11"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903DDC" w:rsidRPr="002F663C" w:rsidP="00B16ACF" w14:paraId="4F6B7FEC" w14:textId="77777777">
      <w:pPr>
        <w:spacing w:before="120" w:after="120"/>
        <w:rPr>
          <w:rFonts w:eastAsia="Calibri" w:cs="Times New Roman"/>
          <w:szCs w:val="18"/>
        </w:rPr>
      </w:pPr>
      <w:r w:rsidRPr="002F663C">
        <w:rPr>
          <w:rFonts w:eastAsia="Calibri" w:cs="Times New Roman"/>
          <w:szCs w:val="18"/>
        </w:rPr>
        <w:t xml:space="preserve">The request for information and the notification of data availability and request for comment notified as </w:t>
      </w:r>
      <w:hyperlink r:id="rId18" w:history="1">
        <w:r w:rsidRPr="002F663C">
          <w:rPr>
            <w:rFonts w:eastAsia="Calibri" w:cs="Times New Roman"/>
            <w:color w:val="0000FF"/>
            <w:szCs w:val="18"/>
            <w:u w:val="single"/>
          </w:rPr>
          <w:t>G/TBT/N/USA/1833/Add.1</w:t>
        </w:r>
      </w:hyperlink>
      <w:r w:rsidRPr="002F663C">
        <w:rPr>
          <w:rFonts w:eastAsia="Calibri" w:cs="Times New Roman"/>
          <w:szCs w:val="18"/>
        </w:rPr>
        <w:t xml:space="preserve"> and </w:t>
      </w:r>
      <w:hyperlink r:id="rId19" w:history="1">
        <w:r w:rsidRPr="002F663C">
          <w:rPr>
            <w:rFonts w:eastAsia="Calibri" w:cs="Times New Roman"/>
            <w:color w:val="0000FF"/>
            <w:szCs w:val="18"/>
            <w:u w:val="single"/>
          </w:rPr>
          <w:t>G/TBT/N/USA/1833/Add.3</w:t>
        </w:r>
      </w:hyperlink>
      <w:r w:rsidRPr="002F663C">
        <w:rPr>
          <w:rFonts w:eastAsia="Calibri" w:cs="Times New Roman"/>
          <w:szCs w:val="18"/>
        </w:rPr>
        <w:t xml:space="preserve"> respectively, are identified by Docket Number EERE-2022-BT-STD-0017. The Docket Folder is available on Regulations.gov at </w:t>
      </w:r>
      <w:hyperlink r:id="rId20" w:history="1">
        <w:r w:rsidRPr="002F663C">
          <w:rPr>
            <w:rFonts w:eastAsia="Calibri" w:cs="Times New Roman"/>
            <w:color w:val="0000FF"/>
            <w:szCs w:val="18"/>
            <w:u w:val="single"/>
          </w:rPr>
          <w:t>https://www.regulations.gov/docket/EERE-2022-BT-STD-0017/document</w:t>
        </w:r>
      </w:hyperlink>
      <w:r w:rsidRPr="002F663C">
        <w:rPr>
          <w:rFonts w:eastAsia="Calibri" w:cs="Times New Roman"/>
          <w:szCs w:val="18"/>
        </w:rPr>
        <w:t xml:space="preserve"> and provides access to primary documents as well as comments received. Documents are also accessible from </w:t>
      </w:r>
      <w:hyperlink r:id="rId11"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6A1764B0" w14:textId="77777777">
      <w:pPr>
        <w:jc w:val="center"/>
        <w:rPr>
          <w:b/>
        </w:rPr>
      </w:pPr>
      <w:r w:rsidRPr="003971FF">
        <w:rPr>
          <w:b/>
        </w:rPr>
        <w:t>__________</w:t>
      </w:r>
    </w:p>
    <w:p w:rsidR="004D4D19" w:rsidP="007F38C2" w14:paraId="1E7E999E" w14:textId="77777777">
      <w:pPr>
        <w:jc w:val="center"/>
        <w:rPr>
          <w:b/>
        </w:rPr>
      </w:pPr>
    </w:p>
    <w:p w:rsidR="00A1565D" w:rsidP="003971FF" w14:paraId="79D80887" w14:textId="77777777">
      <w:pPr>
        <w:jc w:val="center"/>
        <w:rPr>
          <w:b/>
        </w:rPr>
      </w:pPr>
    </w:p>
    <w:sectPr w:rsidSect="006C5A96">
      <w:headerReference w:type="even" r:id="rId21"/>
      <w:headerReference w:type="default" r:id="rId22"/>
      <w:footerReference w:type="even" r:id="rId23"/>
      <w:footerReference w:type="default" r:id="rId24"/>
      <w:headerReference w:type="first" r:id="rId25"/>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1F2A60CC"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A8EB703"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0587F89A" w14:textId="77777777">
      <w:r>
        <w:separator/>
      </w:r>
    </w:p>
  </w:footnote>
  <w:footnote w:type="continuationSeparator" w:id="1">
    <w:p w:rsidR="004D3A6A" w:rsidP="00ED54E0" w14:paraId="0A4BEF38" w14:textId="77777777">
      <w:r>
        <w:continuationSeparator/>
      </w:r>
    </w:p>
  </w:footnote>
  <w:footnote w:id="2">
    <w:p w:rsidR="007F6EA2" w14:paraId="406DE3B1"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5F8E8F5"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690E06FF" w14:textId="77777777">
    <w:pPr>
      <w:pStyle w:val="Header"/>
      <w:pBdr>
        <w:bottom w:val="single" w:sz="4" w:space="1" w:color="auto"/>
      </w:pBdr>
      <w:tabs>
        <w:tab w:val="clear" w:pos="4513"/>
        <w:tab w:val="clear" w:pos="9027"/>
      </w:tabs>
      <w:jc w:val="center"/>
    </w:pPr>
  </w:p>
  <w:p w:rsidR="00DD3DD7" w:rsidRPr="00DD3DD7" w:rsidP="00DD3DD7" w14:paraId="5A2F588D"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6564F2FC"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3433CA8C" w14:textId="77777777">
    <w:pPr>
      <w:pStyle w:val="Header"/>
      <w:pBdr>
        <w:bottom w:val="single" w:sz="4" w:space="1" w:color="auto"/>
      </w:pBdr>
      <w:tabs>
        <w:tab w:val="clear" w:pos="4513"/>
        <w:tab w:val="clear" w:pos="9027"/>
      </w:tabs>
      <w:jc w:val="center"/>
    </w:pPr>
    <w:bookmarkStart w:id="3" w:name="spsSymbolHeader"/>
    <w:r w:rsidRPr="00DD3DD7">
      <w:t>G/TBT/N/USA/1833/Add.4</w:t>
    </w:r>
    <w:bookmarkEnd w:id="3"/>
  </w:p>
  <w:p w:rsidR="00DD3DD7" w:rsidRPr="00DD3DD7" w:rsidP="00DD3DD7" w14:paraId="41EE2AB6" w14:textId="77777777">
    <w:pPr>
      <w:pStyle w:val="Header"/>
      <w:pBdr>
        <w:bottom w:val="single" w:sz="4" w:space="1" w:color="auto"/>
      </w:pBdr>
      <w:tabs>
        <w:tab w:val="clear" w:pos="4513"/>
        <w:tab w:val="clear" w:pos="9027"/>
      </w:tabs>
      <w:jc w:val="center"/>
    </w:pPr>
  </w:p>
  <w:p w:rsidR="00DD3DD7" w:rsidRPr="00DD3DD7" w:rsidP="00DD3DD7" w14:paraId="68E95764"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5ACA77E9"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74740245"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5A2D9358"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217A8604" w14:textId="77777777">
          <w:pPr>
            <w:jc w:val="right"/>
            <w:rPr>
              <w:b/>
              <w:color w:val="FF0000"/>
              <w:szCs w:val="16"/>
            </w:rPr>
          </w:pPr>
          <w:r>
            <w:rPr>
              <w:b/>
              <w:color w:val="FF0000"/>
              <w:szCs w:val="16"/>
            </w:rPr>
            <w:t xml:space="preserve"> </w:t>
          </w:r>
        </w:p>
      </w:tc>
    </w:tr>
    <w:tr w14:paraId="75DBC61E"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21880176"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79ACD106" w14:textId="77777777">
          <w:pPr>
            <w:jc w:val="right"/>
            <w:rPr>
              <w:b/>
              <w:szCs w:val="16"/>
            </w:rPr>
          </w:pPr>
        </w:p>
      </w:tc>
    </w:tr>
    <w:tr w14:paraId="77C271B0"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0B4C5F51"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BF167FE" w14:textId="77777777">
          <w:pPr>
            <w:jc w:val="right"/>
            <w:rPr>
              <w:rFonts w:eastAsia="Calibri" w:cs="Times New Roman"/>
              <w:b/>
              <w:szCs w:val="16"/>
            </w:rPr>
          </w:pPr>
          <w:bookmarkStart w:id="4" w:name="bmkSymbols"/>
          <w:r w:rsidRPr="002F663C">
            <w:rPr>
              <w:rFonts w:eastAsia="Calibri" w:cs="Times New Roman"/>
              <w:b/>
              <w:szCs w:val="16"/>
            </w:rPr>
            <w:t>G/TBT/N/USA/1833/Add.4</w:t>
          </w:r>
          <w:bookmarkEnd w:id="4"/>
        </w:p>
        <w:p w:rsidR="00C14444" w:rsidRPr="00C14444" w:rsidP="00C14444" w14:paraId="472F2C47" w14:textId="77777777">
          <w:pPr>
            <w:jc w:val="center"/>
            <w:rPr>
              <w:szCs w:val="16"/>
            </w:rPr>
          </w:pPr>
        </w:p>
      </w:tc>
    </w:tr>
    <w:tr w14:paraId="16ECF659"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79905B3B" w14:textId="77777777"/>
      </w:tc>
      <w:tc>
        <w:tcPr>
          <w:tcW w:w="5448" w:type="dxa"/>
          <w:gridSpan w:val="2"/>
          <w:shd w:val="clear" w:color="auto" w:fill="FFFFFF"/>
          <w:tcMar>
            <w:left w:w="108" w:type="dxa"/>
            <w:right w:w="108" w:type="dxa"/>
          </w:tcMar>
          <w:vAlign w:val="center"/>
        </w:tcPr>
        <w:p w:rsidR="00ED54E0" w:rsidRPr="00182B84" w:rsidP="00425DC5" w14:paraId="3208CEA9" w14:textId="77777777">
          <w:pPr>
            <w:jc w:val="right"/>
            <w:rPr>
              <w:szCs w:val="16"/>
            </w:rPr>
          </w:pPr>
          <w:bookmarkStart w:id="5" w:name="bmkDate"/>
          <w:r w:rsidRPr="00182B84">
            <w:rPr>
              <w:szCs w:val="16"/>
            </w:rPr>
            <w:t>14 March 2025</w:t>
          </w:r>
          <w:bookmarkEnd w:id="5"/>
        </w:p>
      </w:tc>
    </w:tr>
    <w:tr w14:paraId="368348E6"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1BB37CB7" w14:textId="77777777">
          <w:pPr>
            <w:jc w:val="left"/>
            <w:rPr>
              <w:b/>
            </w:rPr>
          </w:pPr>
          <w:bookmarkStart w:id="6" w:name="bmkSerial"/>
          <w:r>
            <w:rPr>
              <w:b w:val="0"/>
              <w:color w:val="FF0000"/>
            </w:rPr>
            <w:t>(25-1848)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4FC43DCA"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47D3FE8A"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65906337"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6F3B0FA4"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2AD8C6A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050886126">
    <w:abstractNumId w:val="9"/>
  </w:num>
  <w:num w:numId="2" w16cid:durableId="1875997222">
    <w:abstractNumId w:val="7"/>
  </w:num>
  <w:num w:numId="3" w16cid:durableId="322008651">
    <w:abstractNumId w:val="6"/>
  </w:num>
  <w:num w:numId="4" w16cid:durableId="1161189516">
    <w:abstractNumId w:val="5"/>
  </w:num>
  <w:num w:numId="5" w16cid:durableId="1114862834">
    <w:abstractNumId w:val="4"/>
  </w:num>
  <w:num w:numId="6" w16cid:durableId="1880623924">
    <w:abstractNumId w:val="12"/>
  </w:num>
  <w:num w:numId="7" w16cid:durableId="714501019">
    <w:abstractNumId w:val="11"/>
  </w:num>
  <w:num w:numId="8" w16cid:durableId="714161558">
    <w:abstractNumId w:val="10"/>
  </w:num>
  <w:num w:numId="9" w16cid:durableId="10824855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3054644">
    <w:abstractNumId w:val="13"/>
  </w:num>
  <w:num w:numId="11" w16cid:durableId="1209298273">
    <w:abstractNumId w:val="8"/>
  </w:num>
  <w:num w:numId="12" w16cid:durableId="1481800487">
    <w:abstractNumId w:val="3"/>
  </w:num>
  <w:num w:numId="13" w16cid:durableId="275216095">
    <w:abstractNumId w:val="2"/>
  </w:num>
  <w:num w:numId="14" w16cid:durableId="741680585">
    <w:abstractNumId w:val="1"/>
  </w:num>
  <w:num w:numId="15" w16cid:durableId="1975482944">
    <w:abstractNumId w:val="0"/>
  </w:num>
  <w:num w:numId="16" w16cid:durableId="1175001575">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03DDC"/>
    <w:rsid w:val="00917235"/>
    <w:rsid w:val="0094678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57B9A"/>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D2F6D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regulations.gov/docket/EERE-2025-BT-DET-0002/document" TargetMode="External" /><Relationship Id="rId11" Type="http://schemas.openxmlformats.org/officeDocument/2006/relationships/hyperlink" Target="http://www.regulations.gov/" TargetMode="External" /><Relationship Id="rId12" Type="http://schemas.openxmlformats.org/officeDocument/2006/relationships/hyperlink" Target="mailto:usatbtep@nist.gov" TargetMode="External" /><Relationship Id="rId13" Type="http://schemas.openxmlformats.org/officeDocument/2006/relationships/hyperlink" Target="http://time-time.net/times/time-zones/usa-canada/current-eastern-time-est.php" TargetMode="External" /><Relationship Id="rId14" Type="http://schemas.openxmlformats.org/officeDocument/2006/relationships/hyperlink" Target="https://24timezones.com/time-zone/et" TargetMode="External" /><Relationship Id="rId15" Type="http://schemas.openxmlformats.org/officeDocument/2006/relationships/hyperlink" Target="https://eping.wto.org/en/Search?viewData=G/TBT/N/USA/1833" TargetMode="External" /><Relationship Id="rId16" Type="http://schemas.openxmlformats.org/officeDocument/2006/relationships/hyperlink" Target="https://eping.wto.org/en/Search?viewData=G/TBT/N/USA/1833/Add.2" TargetMode="External" /><Relationship Id="rId17" Type="http://schemas.openxmlformats.org/officeDocument/2006/relationships/hyperlink" Target="https://www.regulations.gov/docket/EERE-2021-BT-DET-0034/document" TargetMode="External" /><Relationship Id="rId18" Type="http://schemas.openxmlformats.org/officeDocument/2006/relationships/hyperlink" Target="https://eping.wto.org/en/Search?viewData=G/TBT/N/USA/1833/Add.1" TargetMode="External" /><Relationship Id="rId19" Type="http://schemas.openxmlformats.org/officeDocument/2006/relationships/hyperlink" Target="https://eping.wto.org/en/Search?viewData=G/TBT/N/USA/1833/Add.3" TargetMode="External" /><Relationship Id="rId2" Type="http://schemas.openxmlformats.org/officeDocument/2006/relationships/settings" Target="settings.xml" /><Relationship Id="rId20" Type="http://schemas.openxmlformats.org/officeDocument/2006/relationships/hyperlink" Target="https://www.regulations.gov/docket/EERE-2022-BT-STD-0017/document" TargetMode="External" /><Relationship Id="rId21" Type="http://schemas.openxmlformats.org/officeDocument/2006/relationships/header" Target="header1.xml" /><Relationship Id="rId22" Type="http://schemas.openxmlformats.org/officeDocument/2006/relationships/header" Target="header2.xml" /><Relationship Id="rId23" Type="http://schemas.openxmlformats.org/officeDocument/2006/relationships/footer" Target="footer1.xml" /><Relationship Id="rId24" Type="http://schemas.openxmlformats.org/officeDocument/2006/relationships/footer" Target="footer2.xml" /><Relationship Id="rId25" Type="http://schemas.openxmlformats.org/officeDocument/2006/relationships/header" Target="header3.xml" /><Relationship Id="rId26" Type="http://schemas.openxmlformats.org/officeDocument/2006/relationships/theme" Target="theme/theme1.xml" /><Relationship Id="rId27" Type="http://schemas.openxmlformats.org/officeDocument/2006/relationships/numbering" Target="numbering.xml" /><Relationship Id="rId28"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yperlink" Target="https://members.wto.org/crnattachments/2025/TBT/USA/25_02136_00_e.pdf" TargetMode="External" /><Relationship Id="rId7" Type="http://schemas.openxmlformats.org/officeDocument/2006/relationships/hyperlink" Target="https://www.energy.gov/eere/buildings/miscellaneous-gas-products" TargetMode="External" /><Relationship Id="rId8" Type="http://schemas.openxmlformats.org/officeDocument/2006/relationships/hyperlink" Target="https://www.govinfo.gov/content/pkg/FR-2025-03-13/html/2025-03839.htm" TargetMode="External" /><Relationship Id="rId9" Type="http://schemas.openxmlformats.org/officeDocument/2006/relationships/hyperlink" Target="https://www.govinfo.gov/content/pkg/FR-2025-03-13/pdf/2025-03839.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Greenleaves\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805</Words>
  <Characters>4590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2025-03-14T09:55:00Z</dcterms:created>
  <dcterms:modified xsi:type="dcterms:W3CDTF">2025-03-14T09:55:00Z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NC</vt:lpwstr>
  </property>
</Properties>
</file>