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2B2BD89" w14:textId="77777777">
      <w:pPr>
        <w:pStyle w:val="Title"/>
        <w:rPr>
          <w:caps w:val="0"/>
          <w:kern w:val="0"/>
        </w:rPr>
      </w:pPr>
      <w:r w:rsidRPr="002F6A28">
        <w:rPr>
          <w:caps w:val="0"/>
          <w:kern w:val="0"/>
        </w:rPr>
        <w:t>NOTIFICATION</w:t>
      </w:r>
    </w:p>
    <w:p w:rsidR="009239F7" w:rsidRPr="002F6A28" w:rsidP="002F6A28" w14:paraId="2E1E1300" w14:textId="77777777">
      <w:pPr>
        <w:jc w:val="center"/>
      </w:pPr>
      <w:r w:rsidRPr="002F6A28">
        <w:t>The following notification is being circulated in accordance with Article 10.6</w:t>
      </w:r>
    </w:p>
    <w:p w:rsidR="009239F7" w:rsidRPr="002F6A28" w:rsidP="002F6A28" w14:paraId="52CBC5DC"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DBB9CF3"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E72611C"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504675C" w14:textId="77777777">
            <w:pPr>
              <w:spacing w:before="120" w:after="120"/>
            </w:pPr>
            <w:r w:rsidRPr="002F6A28">
              <w:rPr>
                <w:b/>
              </w:rPr>
              <w:t>Notifying Member:</w:t>
            </w:r>
            <w:r w:rsidRPr="00C92678" w:rsidR="00EE3A11">
              <w:t xml:space="preserve"> </w:t>
            </w:r>
            <w:r w:rsidRPr="00C92678" w:rsidR="00EE3A11">
              <w:rPr>
                <w:u w:val="single"/>
              </w:rPr>
              <w:t>SWEDEN</w:t>
            </w:r>
          </w:p>
          <w:p w:rsidR="00F85C99" w:rsidRPr="002F6A28" w:rsidP="002F6A28" w14:paraId="04FDF563" w14:textId="77777777">
            <w:pPr>
              <w:spacing w:after="120"/>
            </w:pPr>
            <w:r w:rsidRPr="002F6A28">
              <w:rPr>
                <w:b/>
              </w:rPr>
              <w:t>If applicable, name of local government involved (Article 3.2 and 7.2):</w:t>
            </w:r>
            <w:r w:rsidRPr="00C379C8" w:rsidR="00EE3A11">
              <w:t xml:space="preserve"> </w:t>
            </w:r>
          </w:p>
        </w:tc>
      </w:tr>
      <w:tr w14:paraId="608E5E0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180E2C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0888D798" w14:textId="77777777">
            <w:pPr>
              <w:spacing w:before="120" w:after="120"/>
            </w:pPr>
            <w:r w:rsidRPr="002F6A28">
              <w:rPr>
                <w:b/>
              </w:rPr>
              <w:t>Agency responsible:</w:t>
            </w:r>
            <w:r w:rsidRPr="00C379C8" w:rsidR="00EE3A11">
              <w:t xml:space="preserve"> </w:t>
            </w:r>
          </w:p>
          <w:p w:rsidR="00EE3A11" w:rsidRPr="00C379C8" w:rsidP="00155128" w14:paraId="04C399E5" w14:textId="77777777">
            <w:r w:rsidRPr="00C379C8">
              <w:t>Ministry of Health and Social Affairs</w:t>
            </w:r>
          </w:p>
          <w:p w:rsidR="00EE3A11" w:rsidRPr="00C379C8" w:rsidP="00155128" w14:paraId="5EF39818" w14:textId="77777777">
            <w:r w:rsidRPr="00C379C8">
              <w:t>Fredsgatan 8</w:t>
            </w:r>
          </w:p>
          <w:p w:rsidR="00EE3A11" w:rsidRPr="00C379C8" w:rsidP="00155128" w14:paraId="421EA982" w14:textId="77777777">
            <w:pPr>
              <w:spacing w:after="120"/>
            </w:pPr>
            <w:r w:rsidRPr="00C379C8">
              <w:t>103 33 Stockholm</w:t>
            </w:r>
          </w:p>
          <w:p w:rsidR="00F85C99" w:rsidRPr="002F6A28" w:rsidP="00AA646C" w14:paraId="2D59C36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67AB3FAE" w14:textId="77777777">
            <w:r w:rsidRPr="00C379C8">
              <w:t>Kommerskollegium - National Board of Trade Sweden,</w:t>
            </w:r>
          </w:p>
          <w:p w:rsidR="00AC6C6E" w:rsidRPr="00C379C8" w:rsidP="00AA646C" w14:paraId="2FB6E58E" w14:textId="77777777">
            <w:r w:rsidRPr="00C379C8">
              <w:t>Box 6803, SE- 11386 Stockholm, Sweden</w:t>
            </w:r>
          </w:p>
          <w:p w:rsidR="00AC6C6E" w:rsidRPr="00C379C8" w:rsidP="00AA646C" w14:paraId="16914F48" w14:textId="77777777">
            <w:r w:rsidRPr="00C379C8">
              <w:t>Tel: +46 8 690 48 00</w:t>
            </w:r>
          </w:p>
          <w:p w:rsidR="00AC6C6E" w:rsidRPr="00C379C8" w:rsidP="00AA646C" w14:paraId="5F9B36B3" w14:textId="77777777">
            <w:pPr>
              <w:spacing w:after="120"/>
            </w:pPr>
            <w:r w:rsidRPr="00C379C8">
              <w:t xml:space="preserve">E-mail: </w:t>
            </w:r>
            <w:hyperlink r:id="rId6" w:history="1">
              <w:r w:rsidRPr="00C379C8">
                <w:rPr>
                  <w:color w:val="0000FF"/>
                  <w:u w:val="single"/>
                </w:rPr>
                <w:t>registrator@kommerskollegium.se</w:t>
              </w:r>
            </w:hyperlink>
            <w:r w:rsidRPr="00C379C8">
              <w:t xml:space="preserve"> Web: www.kommerskollegium.se</w:t>
            </w:r>
          </w:p>
        </w:tc>
      </w:tr>
      <w:tr w14:paraId="4CBC55D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0BAD736"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ADF1F3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8A2DF9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0361E6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7393493"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Nitrous oxide (laughing gas)</w:t>
            </w:r>
          </w:p>
        </w:tc>
      </w:tr>
      <w:tr w14:paraId="7E7BCD2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B697FA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953CA11" w14:textId="77777777">
            <w:pPr>
              <w:spacing w:before="120" w:after="120"/>
            </w:pPr>
            <w:r w:rsidRPr="002F6A28">
              <w:rPr>
                <w:b/>
              </w:rPr>
              <w:t>Title, number of pages and language(s) of the notified document:</w:t>
            </w:r>
            <w:r w:rsidRPr="00C379C8" w:rsidR="00EE3A11">
              <w:t xml:space="preserve"> Act on nitrous oxide; (4 page(s), in Swedish)</w:t>
            </w:r>
          </w:p>
        </w:tc>
      </w:tr>
      <w:tr w14:paraId="1F99258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E7B6A33"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FA6168C" w14:textId="77777777">
            <w:pPr>
              <w:spacing w:before="120" w:after="120"/>
              <w:rPr>
                <w:b/>
              </w:rPr>
            </w:pPr>
            <w:r w:rsidRPr="002F6A28">
              <w:rPr>
                <w:b/>
              </w:rPr>
              <w:t>Description of content:</w:t>
            </w:r>
            <w:r w:rsidRPr="00C379C8" w:rsidR="00FE448B">
              <w:t xml:space="preserve"> Main content of the regulations </w:t>
            </w:r>
          </w:p>
          <w:p w:rsidR="00FE448B" w:rsidRPr="00C379C8" w:rsidP="002F6A28" w14:paraId="71BBC19D" w14:textId="77777777">
            <w:pPr>
              <w:spacing w:before="120" w:after="120"/>
            </w:pPr>
            <w:r w:rsidRPr="00C379C8">
              <w:t>It should not be possible to sell or otherwise commercially distribute nitrous oxide if there is particular cause to assume that it will be used as an intoxicant. A maximum of 18 grams per purchase of nitrous oxide should be allowed to be sold or otherwise supplied for commercial purposes to a private individual. The sale or supply should not involve more than two containers containing more than nine grams of nitrous oxide per container. This quantity limit should apply only to private individuals and not t</w:t>
            </w:r>
            <w:r w:rsidRPr="00C379C8">
              <w:t xml:space="preserve">o sales to business operators. Likewise, nitrous oxide may not be sold or otherwise distributed through business activities to people under the age of 18. The import of nitrous oxide (laughing gas) should be regulated by an equivalent quantity limit and age requirement. Marketing nitrous oxide in contravention of the prohibitions and restrictions set out in the new Act should be prohibited. Retail sales of nitrous oxide should be authorised only after notification of the sales to the responsible authority. </w:t>
            </w:r>
            <w:r w:rsidRPr="00C379C8">
              <w:t xml:space="preserve">It should be possible to monitor the provisions in the new Act and regulations issued in connection with it. It should be possible to charge fees for the registration and monitoring of nitrous oxide sales. Anyone who intentionally or negligently sells or provides nitrous oxide in contravention of certain provisions of the Act should be sentenced to a fine or imprisonment for at most six months for unlawful handling of nitrous oxide. Medical nitrous oxide (laughing gas) is already </w:t>
            </w:r>
            <w:r w:rsidRPr="00C379C8">
              <w:t>covered by appropriate phar</w:t>
            </w:r>
            <w:r w:rsidRPr="00C379C8">
              <w:t>maceutical legislation and should not be covered by the new Act on Nitrous Oxide.</w:t>
            </w:r>
          </w:p>
          <w:p w:rsidR="00FE448B" w:rsidRPr="00C379C8" w:rsidP="002F6A28" w14:paraId="4AFF8C2F" w14:textId="77777777">
            <w:pPr>
              <w:spacing w:before="120" w:after="120"/>
            </w:pPr>
            <w:r w:rsidRPr="00C379C8">
              <w:t>Impact analysis</w:t>
            </w:r>
          </w:p>
          <w:p w:rsidR="00FE448B" w:rsidRPr="00C379C8" w:rsidP="002F6A28" w14:paraId="48B1D37F" w14:textId="77777777">
            <w:pPr>
              <w:spacing w:before="120" w:after="120"/>
            </w:pPr>
            <w:r w:rsidRPr="00C379C8">
              <w:t>A number of the regulations on nitrous oxide could constitute measures that impede trade. These include the proposals on notification requirements for retail trading, age requirements, a quantity limit for sales to private individuals, the ban on the sale of nitrous oxide as an intoxicant, and the possibility to charge fees for notification and monitoring.</w:t>
            </w:r>
          </w:p>
          <w:p w:rsidR="00FE448B" w:rsidRPr="00C379C8" w:rsidP="002F6A28" w14:paraId="690B829B" w14:textId="77777777">
            <w:pPr>
              <w:spacing w:before="120" w:after="120"/>
            </w:pPr>
            <w:r w:rsidRPr="00C379C8">
              <w:t>Nitrous oxide is a substance that can cause serious health risks and death. Its use as an intoxicant has increased substantially in recent years. The measures proposed can therefore be justified by the interest of protecting human health or life.</w:t>
            </w:r>
          </w:p>
          <w:p w:rsidR="00FE448B" w:rsidRPr="00C379C8" w:rsidP="002F6A28" w14:paraId="799E5B7B" w14:textId="77777777">
            <w:pPr>
              <w:spacing w:before="120" w:after="120"/>
            </w:pPr>
            <w:r w:rsidRPr="00C379C8">
              <w:t>The measures proposed for nitrous oxide will apply to both Swedish and foreign actors, regardless of whether sales are conducted in physical shops or on the internet. Although the measures are aimed at activities on Swedish territory – points of sale in Sweden and import into Sweden – they apply equally regardless of who carries out the activities. The measures are therefore not discriminatory.</w:t>
            </w:r>
          </w:p>
          <w:p w:rsidR="00FE448B" w:rsidRPr="00C379C8" w:rsidP="002F6A28" w14:paraId="4B288275" w14:textId="77777777">
            <w:pPr>
              <w:spacing w:before="120" w:after="120"/>
            </w:pPr>
            <w:r w:rsidRPr="00C379C8">
              <w:t>A duty of notification is necessary to be able to monitor nitrous oxide sales. This duty of notification is less restrictive than other options such as a licence requirement. The age requirement is necessary to prevent children and young people from using nitrous oxide as an intoxicant. The ban on the sale of nitrous oxide as an intoxicant and the quantity limit are necessary to protect public health – particularly the health of children and young people.</w:t>
            </w:r>
          </w:p>
          <w:p w:rsidR="00FE448B" w:rsidRPr="00C379C8" w:rsidP="002F6A28" w14:paraId="6C21973F" w14:textId="77777777">
            <w:pPr>
              <w:spacing w:before="120" w:after="120"/>
            </w:pPr>
            <w:r w:rsidRPr="00C379C8">
              <w:t>The regulation is designed to fulfil the purpose of the Act. The measures are less restrictive than other options such as a total ban on the sale of nitrous oxide. The sale of nitrous oxide for cooking, for example, should continue to be allowed in retail outlets with certain quantity limits to private individuals. The sale of nitrous oxide to business operators should not be covered by the quantity limit. The quantity limit and the age requirement should also apply to imports. The import rules mean that re</w:t>
            </w:r>
            <w:r w:rsidRPr="00C379C8">
              <w:t>quirements for sales and imports are coordinated, which is necessary for achieving the aim of the limitations. The proposal for supervision fees is necessary to ensure effective monitoring and regulatory compliance. As the basic premise is that these fees should reflect actual costs of supervision incurred by an authority, they do not go beyond what is necessary.</w:t>
            </w:r>
          </w:p>
          <w:p w:rsidR="00FE448B" w:rsidRPr="00C379C8" w:rsidP="002F6A28" w14:paraId="5FB4366F" w14:textId="77777777">
            <w:pPr>
              <w:spacing w:before="120" w:after="120"/>
            </w:pPr>
            <w:r w:rsidRPr="00C379C8">
              <w:t xml:space="preserve">In conclusion, the measures are not considered to go beyond what is necessary to achieve the objective of protecting public health. The regulations aim to protect consumers – particularly children and young people – from the health risks associated with nitrous oxide without entailing an unnecessarily far-reaching ban or limitation. The aim cannot be achieved in any other less intrusive way, through less extensive measures or through restrictions that have less impact on retail that involves nitrous oxide. </w:t>
            </w:r>
            <w:r w:rsidRPr="00C379C8">
              <w:t>The provisions can therefore be considered proportionate. The impact that the regulations could have on those who sell or use nitrous oxide as an intoxicant can thus be accepted. The Act is not expected to have any major impact on those who sell or use nitrous oxide for other purposes, and this market is relatively small.</w:t>
            </w:r>
          </w:p>
        </w:tc>
      </w:tr>
      <w:tr w14:paraId="3F99711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1427B45"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E7FF93A" w14:textId="77777777">
            <w:pPr>
              <w:spacing w:before="120" w:after="120"/>
              <w:rPr>
                <w:b/>
              </w:rPr>
            </w:pPr>
            <w:r w:rsidRPr="002F6A28">
              <w:rPr>
                <w:b/>
              </w:rPr>
              <w:t>Objective and rationale, including the nature of urgent problems where applicable:</w:t>
            </w:r>
            <w:r w:rsidRPr="00C379C8" w:rsidR="00EE3A11">
              <w:t xml:space="preserve"> Aim of the regulations</w:t>
            </w:r>
          </w:p>
          <w:p w:rsidR="00EE3A11" w:rsidRPr="00C379C8" w:rsidP="002F6A28" w14:paraId="0E892D3F" w14:textId="77777777">
            <w:pPr>
              <w:spacing w:before="120" w:after="120"/>
            </w:pPr>
            <w:r w:rsidRPr="00C379C8">
              <w:t>The use of nitrous oxide as an intoxicant has increased substantially in recent years and can involve significant health risks, including death. The prevalence of its use for intoxication is worrying. It is particularly concerning that many children and young people have tried nitrous oxide in order to become intoxicated. Stopping the normalisation of this use is an urgent matter, which is why a special regulation on the sale of nitrous oxide is proposed. The aim of the new Act on Nitrous Oxide is to counte</w:t>
            </w:r>
            <w:r w:rsidRPr="00C379C8">
              <w:t>ract the use of nitrous oxide as an intoxicant. This will reduce health risks, particularly for children and young people, and protect public health. ; Prevention of deceptive practices and consumer protection; Protection of human health or safety</w:t>
            </w:r>
          </w:p>
        </w:tc>
      </w:tr>
      <w:tr w14:paraId="212CF9F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C93BFAA"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B2CCDD3" w14:textId="77777777">
            <w:pPr>
              <w:spacing w:before="120" w:after="120"/>
              <w:rPr>
                <w:bCs/>
              </w:rPr>
            </w:pPr>
            <w:r w:rsidRPr="002F6A28">
              <w:rPr>
                <w:b/>
              </w:rPr>
              <w:t>Relevant documents:</w:t>
            </w:r>
            <w:r w:rsidRPr="002F6A28" w:rsidR="00EE3A11">
              <w:t xml:space="preserve"> </w:t>
            </w:r>
          </w:p>
          <w:p w:rsidR="00EE3A11" w:rsidRPr="002F6A28" w:rsidP="007F13E8" w14:paraId="10E0F53E" w14:textId="77777777">
            <w:pPr>
              <w:spacing w:before="120" w:after="120"/>
            </w:pPr>
            <w:hyperlink r:id="rId7" w:history="1">
              <w:r w:rsidRPr="002F6A28">
                <w:rPr>
                  <w:color w:val="0000FF"/>
                  <w:u w:val="single"/>
                </w:rPr>
                <w:t>https://technical-regulation-information-system.ec.europa.eu/sv/notification/26690</w:t>
              </w:r>
            </w:hyperlink>
            <w:r w:rsidRPr="002F6A28" w:rsidR="00BA5213">
              <w:t xml:space="preserve"> (Unofficial English translation)</w:t>
            </w:r>
          </w:p>
        </w:tc>
      </w:tr>
      <w:tr w14:paraId="7491200C"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57EDD56"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EFE0D32" w14:textId="77777777">
            <w:pPr>
              <w:spacing w:before="120" w:after="120"/>
            </w:pPr>
            <w:r w:rsidRPr="002F6A28">
              <w:rPr>
                <w:b/>
              </w:rPr>
              <w:t>Proposed date of adoption:</w:t>
            </w:r>
            <w:r w:rsidRPr="00C379C8">
              <w:t xml:space="preserve"> 1 July 2025</w:t>
            </w:r>
          </w:p>
          <w:p w:rsidR="00EE3A11" w:rsidRPr="002F6A28" w:rsidP="008953C4" w14:paraId="734D3903" w14:textId="77777777">
            <w:pPr>
              <w:spacing w:after="120"/>
            </w:pPr>
            <w:r w:rsidRPr="002F6A28">
              <w:rPr>
                <w:b/>
              </w:rPr>
              <w:t>Proposed date of entry into force:</w:t>
            </w:r>
            <w:r w:rsidRPr="00C379C8">
              <w:t xml:space="preserve"> 1 July 2025; Retail sales of nitrous oxide may be conducted until 1 September 2025 without being reported.</w:t>
            </w:r>
          </w:p>
        </w:tc>
      </w:tr>
      <w:tr w14:paraId="41CD709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E87653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B42EEBC" w14:textId="77777777">
            <w:pPr>
              <w:spacing w:before="120" w:after="120"/>
            </w:pPr>
            <w:r w:rsidRPr="002F6A28">
              <w:rPr>
                <w:b/>
              </w:rPr>
              <w:t>Final date for comments:</w:t>
            </w:r>
            <w:r w:rsidRPr="00C379C8" w:rsidR="00EE3A11">
              <w:t xml:space="preserve"> 60 days from notification</w:t>
            </w:r>
          </w:p>
        </w:tc>
      </w:tr>
      <w:tr w14:paraId="66C091F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165704F"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B922832"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11CC110" w14:textId="77777777">
            <w:pPr>
              <w:keepNext/>
              <w:keepLines/>
              <w:pBdr>
                <w:bottom w:val="none" w:sz="0" w:space="4" w:color="auto"/>
              </w:pBdr>
              <w:rPr>
                <w:bCs/>
              </w:rPr>
            </w:pPr>
            <w:hyperlink r:id="rId7" w:tgtFrame="_blank" w:history="1">
              <w:r w:rsidRPr="00A12DDE">
                <w:rPr>
                  <w:bCs/>
                  <w:color w:val="0000FF"/>
                  <w:u w:val="single"/>
                </w:rPr>
                <w:t>https://technical-regulation-information-system.ec.europa.eu/sv/notification/26690</w:t>
              </w:r>
            </w:hyperlink>
          </w:p>
          <w:p w:rsidR="00EE3A11" w:rsidRPr="00A12DDE" w:rsidP="00B16145" w14:paraId="672738F2" w14:textId="77777777">
            <w:pPr>
              <w:keepNext/>
              <w:keepLines/>
              <w:spacing w:after="120"/>
              <w:rPr>
                <w:bCs/>
              </w:rPr>
            </w:pPr>
            <w:hyperlink r:id="rId8" w:tgtFrame="_blank" w:history="1">
              <w:r w:rsidRPr="00A12DDE">
                <w:rPr>
                  <w:bCs/>
                  <w:color w:val="0000FF"/>
                  <w:u w:val="single"/>
                </w:rPr>
                <w:t>https://members.wto.org/crnattachments/2025/TBT/SWE/25_02108_00_x.pdf</w:t>
              </w:r>
            </w:hyperlink>
          </w:p>
        </w:tc>
      </w:tr>
    </w:tbl>
    <w:p w:rsidR="00EE3A11" w:rsidRPr="002F6A28" w:rsidP="002F6A28" w14:paraId="04AC7E0F"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6637E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6513E1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2386A5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467335" w14:textId="77777777">
    <w:pPr>
      <w:pStyle w:val="Header"/>
      <w:pBdr>
        <w:bottom w:val="single" w:sz="4" w:space="1" w:color="auto"/>
      </w:pBdr>
      <w:tabs>
        <w:tab w:val="clear" w:pos="4513"/>
        <w:tab w:val="clear" w:pos="9027"/>
      </w:tabs>
      <w:jc w:val="center"/>
    </w:pPr>
    <w:r w:rsidRPr="002F6A28">
      <w:t>tbtSymbol</w:t>
    </w:r>
  </w:p>
  <w:p w:rsidR="009239F7" w:rsidRPr="002F6A28" w:rsidP="009239F7" w14:paraId="19BE8C07" w14:textId="77777777">
    <w:pPr>
      <w:pStyle w:val="Header"/>
      <w:pBdr>
        <w:bottom w:val="single" w:sz="4" w:space="1" w:color="auto"/>
      </w:pBdr>
      <w:tabs>
        <w:tab w:val="clear" w:pos="4513"/>
        <w:tab w:val="clear" w:pos="9027"/>
      </w:tabs>
      <w:jc w:val="center"/>
    </w:pPr>
  </w:p>
  <w:p w:rsidR="009239F7" w:rsidRPr="002F6A28" w:rsidP="009239F7" w14:paraId="3E0E9ED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1F1789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CD1767" w14:textId="77777777">
    <w:pPr>
      <w:pStyle w:val="Header"/>
      <w:pBdr>
        <w:bottom w:val="single" w:sz="4" w:space="1" w:color="auto"/>
      </w:pBdr>
      <w:tabs>
        <w:tab w:val="clear" w:pos="4513"/>
        <w:tab w:val="clear" w:pos="9027"/>
      </w:tabs>
      <w:jc w:val="center"/>
    </w:pPr>
    <w:bookmarkStart w:id="0" w:name="spsSymbolHeader"/>
    <w:r w:rsidRPr="002F6A28">
      <w:t>G/TBT/N/SWE/158</w:t>
    </w:r>
    <w:bookmarkEnd w:id="0"/>
  </w:p>
  <w:p w:rsidR="009239F7" w:rsidRPr="002F6A28" w:rsidP="009239F7" w14:paraId="2207A9CE" w14:textId="77777777">
    <w:pPr>
      <w:pStyle w:val="Header"/>
      <w:pBdr>
        <w:bottom w:val="single" w:sz="4" w:space="1" w:color="auto"/>
      </w:pBdr>
      <w:tabs>
        <w:tab w:val="clear" w:pos="4513"/>
        <w:tab w:val="clear" w:pos="9027"/>
      </w:tabs>
      <w:jc w:val="center"/>
    </w:pPr>
  </w:p>
  <w:p w:rsidR="009239F7" w:rsidRPr="002F6A28" w:rsidP="009239F7" w14:paraId="1B0A001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69B1DA9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B80A5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B3D2EF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53FD416" w14:textId="77777777">
          <w:pPr>
            <w:jc w:val="right"/>
            <w:rPr>
              <w:b/>
              <w:color w:val="FF0000"/>
              <w:szCs w:val="16"/>
            </w:rPr>
          </w:pPr>
        </w:p>
      </w:tc>
    </w:tr>
    <w:bookmarkEnd w:id="1"/>
    <w:tr w14:paraId="53CFDF9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B72585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CB4EC08" w14:textId="77777777">
          <w:pPr>
            <w:jc w:val="right"/>
            <w:rPr>
              <w:b/>
              <w:szCs w:val="16"/>
            </w:rPr>
          </w:pPr>
        </w:p>
      </w:tc>
    </w:tr>
    <w:tr w14:paraId="2569ED2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8C1D19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E93567D" w14:textId="77777777">
          <w:pPr>
            <w:jc w:val="right"/>
            <w:rPr>
              <w:b/>
              <w:szCs w:val="16"/>
            </w:rPr>
          </w:pPr>
          <w:bookmarkStart w:id="2" w:name="bmkSymbols"/>
          <w:r w:rsidRPr="002F6A28">
            <w:rPr>
              <w:b/>
              <w:szCs w:val="16"/>
            </w:rPr>
            <w:t>G/TBT/N/SWE/158</w:t>
          </w:r>
          <w:bookmarkEnd w:id="2"/>
        </w:p>
      </w:tc>
    </w:tr>
    <w:tr w14:paraId="3F732BE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BBCA33F" w14:textId="77777777"/>
      </w:tc>
      <w:tc>
        <w:tcPr>
          <w:tcW w:w="5448" w:type="dxa"/>
          <w:gridSpan w:val="2"/>
          <w:shd w:val="clear" w:color="auto" w:fill="FFFFFF"/>
          <w:tcMar>
            <w:left w:w="108" w:type="dxa"/>
            <w:right w:w="108" w:type="dxa"/>
          </w:tcMar>
          <w:vAlign w:val="center"/>
        </w:tcPr>
        <w:p w:rsidR="00ED54E0" w:rsidRPr="009239F7" w:rsidP="00B801E9" w14:paraId="3ECFA82A" w14:textId="77777777">
          <w:pPr>
            <w:jc w:val="right"/>
            <w:rPr>
              <w:szCs w:val="16"/>
            </w:rPr>
          </w:pPr>
          <w:bookmarkStart w:id="3" w:name="spsDateDistribution"/>
          <w:bookmarkStart w:id="4" w:name="bmkDate"/>
          <w:r w:rsidRPr="009239F7">
            <w:rPr>
              <w:szCs w:val="16"/>
            </w:rPr>
            <w:t>13 March 2025</w:t>
          </w:r>
          <w:bookmarkEnd w:id="3"/>
          <w:bookmarkEnd w:id="4"/>
        </w:p>
      </w:tc>
    </w:tr>
    <w:tr w14:paraId="317EA1D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067EBD3" w14:textId="77777777">
          <w:pPr>
            <w:jc w:val="left"/>
            <w:rPr>
              <w:b/>
            </w:rPr>
          </w:pPr>
          <w:bookmarkStart w:id="5" w:name="bmkSerial"/>
          <w:r>
            <w:rPr>
              <w:b w:val="0"/>
              <w:color w:val="FF0000"/>
            </w:rPr>
            <w:t>(25-1796)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DCECC4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1B67BD3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213B93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9B4E2A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5D2C8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62757072">
    <w:abstractNumId w:val="9"/>
  </w:num>
  <w:num w:numId="2" w16cid:durableId="290484343">
    <w:abstractNumId w:val="7"/>
  </w:num>
  <w:num w:numId="3" w16cid:durableId="700394507">
    <w:abstractNumId w:val="6"/>
  </w:num>
  <w:num w:numId="4" w16cid:durableId="150369729">
    <w:abstractNumId w:val="5"/>
  </w:num>
  <w:num w:numId="5" w16cid:durableId="1833645473">
    <w:abstractNumId w:val="4"/>
  </w:num>
  <w:num w:numId="6" w16cid:durableId="1339767311">
    <w:abstractNumId w:val="12"/>
  </w:num>
  <w:num w:numId="7" w16cid:durableId="2060129125">
    <w:abstractNumId w:val="11"/>
  </w:num>
  <w:num w:numId="8" w16cid:durableId="1969165779">
    <w:abstractNumId w:val="10"/>
  </w:num>
  <w:num w:numId="9" w16cid:durableId="1264800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6093315">
    <w:abstractNumId w:val="13"/>
  </w:num>
  <w:num w:numId="11" w16cid:durableId="135344834">
    <w:abstractNumId w:val="8"/>
  </w:num>
  <w:num w:numId="12" w16cid:durableId="1569924534">
    <w:abstractNumId w:val="3"/>
  </w:num>
  <w:num w:numId="13" w16cid:durableId="1329091218">
    <w:abstractNumId w:val="2"/>
  </w:num>
  <w:num w:numId="14" w16cid:durableId="340664744">
    <w:abstractNumId w:val="1"/>
  </w:num>
  <w:num w:numId="15" w16cid:durableId="290138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63D97"/>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07CA4"/>
    <w:rsid w:val="005104AF"/>
    <w:rsid w:val="00517991"/>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00EB"/>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A5213"/>
    <w:rsid w:val="00BB0455"/>
    <w:rsid w:val="00BB1F84"/>
    <w:rsid w:val="00BE5468"/>
    <w:rsid w:val="00BF2E8F"/>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0C4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registrator@kommerskollegium.se" TargetMode="External" /><Relationship Id="rId7" Type="http://schemas.openxmlformats.org/officeDocument/2006/relationships/hyperlink" Target="https://technical-regulation-information-system.ec.europa.eu/sv/notification/26690" TargetMode="External" /><Relationship Id="rId8" Type="http://schemas.openxmlformats.org/officeDocument/2006/relationships/hyperlink" Target="https://members.wto.org/crnattachments/2025/TBT/SWE/25_02108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98FFDB1-B226-46AF-A44B-68DE43EE686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1158</Words>
  <Characters>6329</Characters>
  <Application>Microsoft Office Word</Application>
  <DocSecurity>0</DocSecurity>
  <Lines>116</Lines>
  <Paragraphs>46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2025-03-13T13:20:00Z</dcterms:created>
  <dcterms:modified xsi:type="dcterms:W3CDTF">2025-03-13T13:22:00Z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