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0DBBEA5" w14:textId="77777777">
      <w:pPr>
        <w:pStyle w:val="Title"/>
        <w:rPr>
          <w:caps w:val="0"/>
          <w:kern w:val="0"/>
        </w:rPr>
      </w:pPr>
      <w:r w:rsidRPr="002F6A28">
        <w:rPr>
          <w:caps w:val="0"/>
          <w:kern w:val="0"/>
        </w:rPr>
        <w:t>NOTIFICATION</w:t>
      </w:r>
    </w:p>
    <w:p w:rsidR="009239F7" w:rsidRPr="002F6A28" w:rsidP="002F6A28" w14:paraId="392DB50E" w14:textId="77777777">
      <w:pPr>
        <w:jc w:val="center"/>
      </w:pPr>
      <w:r w:rsidRPr="002F6A28">
        <w:t>The following notification is being circulated in accordance with Article 10.6</w:t>
      </w:r>
    </w:p>
    <w:p w:rsidR="009239F7" w:rsidRPr="002F6A28" w:rsidP="002F6A28" w14:paraId="2987B05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F7A2C7A"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58462FA"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2D5F034" w14:textId="77777777">
            <w:pPr>
              <w:spacing w:before="120" w:after="120"/>
            </w:pPr>
            <w:r w:rsidRPr="002F6A28">
              <w:rPr>
                <w:b/>
              </w:rPr>
              <w:t>Notifying Member:</w:t>
            </w:r>
            <w:r w:rsidRPr="00C92678" w:rsidR="00EE3A11">
              <w:t xml:space="preserve"> </w:t>
            </w:r>
            <w:r w:rsidRPr="00C92678" w:rsidR="00EE3A11">
              <w:rPr>
                <w:u w:val="single"/>
              </w:rPr>
              <w:t>RUSSIAN FEDERATION</w:t>
            </w:r>
          </w:p>
          <w:p w:rsidR="00F85C99" w:rsidRPr="002F6A28" w:rsidP="002F6A28" w14:paraId="746CDD7E" w14:textId="77777777">
            <w:pPr>
              <w:spacing w:after="120"/>
            </w:pPr>
            <w:r w:rsidRPr="002F6A28">
              <w:rPr>
                <w:b/>
              </w:rPr>
              <w:t>If applicable, name of local government involved (Article 3.2 and 7.2):</w:t>
            </w:r>
            <w:r w:rsidRPr="00C379C8" w:rsidR="00EE3A11">
              <w:t xml:space="preserve"> </w:t>
            </w:r>
          </w:p>
        </w:tc>
      </w:tr>
      <w:tr w14:paraId="1AD8F9F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D0907F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E8402D9" w14:textId="77777777">
            <w:pPr>
              <w:spacing w:before="120" w:after="120"/>
            </w:pPr>
            <w:r w:rsidRPr="002F6A28">
              <w:rPr>
                <w:b/>
              </w:rPr>
              <w:t>Agency responsible:</w:t>
            </w:r>
            <w:r w:rsidRPr="00C379C8" w:rsidR="00EE3A11">
              <w:t xml:space="preserve"> </w:t>
            </w:r>
          </w:p>
          <w:p w:rsidR="00EE3A11" w:rsidRPr="00C379C8" w:rsidP="00155128" w14:paraId="696E106D" w14:textId="77777777">
            <w:r w:rsidRPr="00C379C8">
              <w:t>Eurasian Economic Commission</w:t>
            </w:r>
          </w:p>
          <w:p w:rsidR="00EE3A11" w:rsidRPr="00C379C8" w:rsidP="00155128" w14:paraId="3E791E62" w14:textId="77777777">
            <w:r w:rsidRPr="00C379C8">
              <w:t>Tel: +7(495)669-24-00</w:t>
            </w:r>
          </w:p>
          <w:p w:rsidR="00EE3A11" w:rsidRPr="00366B2A" w:rsidP="00155128" w14:paraId="478F67F3" w14:textId="77777777">
            <w:pPr>
              <w:rPr>
                <w:lang w:val="fr-CH"/>
              </w:rPr>
            </w:pPr>
            <w:r w:rsidRPr="00366B2A">
              <w:rPr>
                <w:lang w:val="fr-CH"/>
              </w:rPr>
              <w:t>Fax: +7(495)669-24-15</w:t>
            </w:r>
          </w:p>
          <w:p w:rsidR="00EE3A11" w:rsidRPr="00366B2A" w:rsidP="00155128" w14:paraId="6393A0A7" w14:textId="77777777">
            <w:pPr>
              <w:rPr>
                <w:lang w:val="fr-CH"/>
              </w:rPr>
            </w:pPr>
            <w:r w:rsidRPr="00366B2A">
              <w:rPr>
                <w:lang w:val="fr-CH"/>
              </w:rPr>
              <w:t xml:space="preserve">E-mail: </w:t>
            </w:r>
            <w:hyperlink r:id="rId6" w:history="1">
              <w:r w:rsidRPr="00366B2A">
                <w:rPr>
                  <w:color w:val="0000FF"/>
                  <w:u w:val="single"/>
                  <w:lang w:val="fr-CH"/>
                </w:rPr>
                <w:t>dept_techregulation@eurasiancommission.org</w:t>
              </w:r>
            </w:hyperlink>
          </w:p>
          <w:p w:rsidR="00EE3A11" w:rsidRPr="00366B2A" w:rsidP="00155128" w14:paraId="31871C88" w14:textId="59E513B6">
            <w:pPr>
              <w:rPr>
                <w:lang w:val="fr-CH"/>
              </w:rPr>
            </w:pPr>
            <w:r w:rsidRPr="00366B2A">
              <w:rPr>
                <w:lang w:val="fr-CH"/>
              </w:rPr>
              <w:t>Website</w:t>
            </w:r>
            <w:r w:rsidRPr="00366B2A">
              <w:rPr>
                <w:lang w:val="fr-CH"/>
              </w:rPr>
              <w:t xml:space="preserve">: </w:t>
            </w:r>
            <w:hyperlink r:id="rId7" w:history="1">
              <w:r w:rsidRPr="00366B2A">
                <w:rPr>
                  <w:rStyle w:val="Hyperlink"/>
                  <w:lang w:val="fr-CH"/>
                </w:rPr>
                <w:t>www.eurasiancommission.org</w:t>
              </w:r>
            </w:hyperlink>
            <w:r w:rsidRPr="00366B2A">
              <w:rPr>
                <w:lang w:val="fr-CH"/>
              </w:rPr>
              <w:t xml:space="preserve"> </w:t>
            </w:r>
          </w:p>
          <w:p w:rsidR="00EE3A11" w:rsidRPr="00366B2A" w:rsidP="00155128" w14:paraId="275E5C88" w14:textId="4E28A835">
            <w:pPr>
              <w:spacing w:after="120"/>
              <w:rPr>
                <w:lang w:val="fr-CH"/>
              </w:rPr>
            </w:pPr>
            <w:hyperlink r:id="rId8" w:history="1">
              <w:r w:rsidRPr="00C50CF9">
                <w:rPr>
                  <w:rStyle w:val="Hyperlink"/>
                  <w:lang w:val="fr-CH"/>
                </w:rPr>
                <w:t>https://docs.eaeunion.org/ru-ru</w:t>
              </w:r>
            </w:hyperlink>
            <w:r>
              <w:rPr>
                <w:lang w:val="fr-CH"/>
              </w:rPr>
              <w:t xml:space="preserve"> </w:t>
            </w:r>
          </w:p>
          <w:p w:rsidR="00F85C99" w:rsidRPr="002F6A28" w:rsidP="00AA646C" w14:paraId="6A10A00D"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5E466EB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0FAAAD7"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B78A45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FCFE7D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F11F76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F4C5E70"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Attractions</w:t>
            </w:r>
          </w:p>
        </w:tc>
      </w:tr>
      <w:tr w14:paraId="14F14E5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5FE3EBB"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EE3A11" w:rsidRPr="00C379C8" w:rsidP="002F6A28" w14:paraId="060BFCE3" w14:textId="168716F8">
            <w:pPr>
              <w:spacing w:before="120" w:after="120"/>
            </w:pPr>
            <w:r w:rsidRPr="002F6A28">
              <w:rPr>
                <w:b/>
              </w:rPr>
              <w:t>Title, number of pages and language(s) of the notified document:</w:t>
            </w:r>
            <w:r w:rsidRPr="00C379C8">
              <w:t xml:space="preserve"> Draft amendments to the Technical Regulation of the Eurasian Economic Union «On safety of attractions» (TR EAEU 038/2016) in terms of the establishment of forms, schemes, and procedures for conformity assessment based on standard conformity assessment schemes</w:t>
            </w:r>
            <w:r w:rsidRPr="00C379C8">
              <w:t>; (14 page(s), in Russian)</w:t>
            </w:r>
          </w:p>
        </w:tc>
      </w:tr>
      <w:tr w14:paraId="1CF12B1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857D44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C7650E6" w14:textId="77777777">
            <w:pPr>
              <w:spacing w:before="120" w:after="120"/>
              <w:rPr>
                <w:b/>
              </w:rPr>
            </w:pPr>
            <w:r w:rsidRPr="002F6A28">
              <w:rPr>
                <w:b/>
              </w:rPr>
              <w:t>Description of content:</w:t>
            </w:r>
            <w:r w:rsidRPr="00C379C8" w:rsidR="00FE448B">
              <w:t xml:space="preserve"> - establishment of forms, schemes and procedures for conformity assessment based on standard conformity assessment schemes (the Decision of the Council of the Eurasian Economic Commission No. 44 (April 18, 2018));</w:t>
            </w:r>
          </w:p>
          <w:p w:rsidR="00FE448B" w:rsidRPr="00C379C8" w:rsidP="002F6A28" w14:paraId="520A637E" w14:textId="77777777">
            <w:pPr>
              <w:spacing w:before="120" w:after="120"/>
            </w:pPr>
            <w:r w:rsidRPr="00C379C8">
              <w:t>- bringing the provisions of TR EAEU 038/2016 in terms of conformity assessment in accodance with the provisions of the Protocol on Technical Regulation in the Eurasian Economic Union (Annex No. 9 to the Treaty on the Eurasian Economic Union of May 29, 2014);</w:t>
            </w:r>
          </w:p>
          <w:p w:rsidR="00FE448B" w:rsidRPr="00C379C8" w:rsidP="002F6A28" w14:paraId="7397ADBD" w14:textId="77777777">
            <w:pPr>
              <w:spacing w:before="120" w:after="120"/>
            </w:pPr>
            <w:r w:rsidRPr="00C379C8">
              <w:t>- clarification of individual provisions of TR EAEU 038/2016 in terms of conformity assessment based on the results of the practice of applying EAEU TR 038/2016.</w:t>
            </w:r>
          </w:p>
        </w:tc>
      </w:tr>
      <w:tr w14:paraId="526BA230" w14:textId="77777777" w:rsidTr="00FD6C7A">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2F6A28" w14:paraId="6B0FD05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8B7E35B" w14:textId="77777777">
            <w:pPr>
              <w:spacing w:before="120" w:after="120"/>
              <w:rPr>
                <w:b/>
              </w:rPr>
            </w:pPr>
            <w:r w:rsidRPr="002F6A28">
              <w:rPr>
                <w:b/>
              </w:rPr>
              <w:t>Objective and rationale, including the nature of urgent problems where applicable:</w:t>
            </w:r>
            <w:r w:rsidRPr="00C379C8" w:rsidR="00EE3A11">
              <w:t xml:space="preserve"> </w:t>
            </w:r>
          </w:p>
          <w:p w:rsidR="00EE3A11" w:rsidRPr="00C379C8" w:rsidP="002F6A28" w14:paraId="219A06C8" w14:textId="77777777">
            <w:pPr>
              <w:numPr>
                <w:ilvl w:val="0"/>
                <w:numId w:val="16"/>
              </w:numPr>
              <w:spacing w:before="120" w:after="120"/>
            </w:pPr>
            <w:r w:rsidRPr="00C379C8">
              <w:t>Protection of human life and health and prevention of actions misleading consumers;</w:t>
            </w:r>
          </w:p>
          <w:p w:rsidR="00EE3A11" w:rsidRPr="00C379C8" w:rsidP="002F6A28" w14:paraId="64B016E8" w14:textId="1ED8B4A6">
            <w:pPr>
              <w:numPr>
                <w:ilvl w:val="0"/>
                <w:numId w:val="16"/>
              </w:numPr>
              <w:spacing w:before="120" w:after="120"/>
            </w:pPr>
            <w:r w:rsidRPr="00C379C8">
              <w:t>Elimination of the possibility of double interpretation of certain provisions of the TR EAEU 038/2016 and harmonization of conformity assessment procedures of the TR EAEU 038/2016 in terms of establishing forms, schemes and procedures for conformity assessment based on standard conformity assessment schemes.</w:t>
            </w:r>
          </w:p>
        </w:tc>
      </w:tr>
      <w:tr w14:paraId="1BB393E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0639F876"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8FD855B" w14:textId="77777777">
            <w:pPr>
              <w:spacing w:before="120" w:after="120"/>
              <w:rPr>
                <w:bCs/>
              </w:rPr>
            </w:pPr>
            <w:r w:rsidRPr="002F6A28">
              <w:rPr>
                <w:b/>
              </w:rPr>
              <w:t>Relevant documents:</w:t>
            </w:r>
            <w:r w:rsidRPr="002F6A28" w:rsidR="00EE3A11">
              <w:t xml:space="preserve"> </w:t>
            </w:r>
          </w:p>
          <w:p w:rsidR="00EE3A11" w:rsidRPr="002F6A28" w:rsidP="007F13E8" w14:paraId="30F1E0A2" w14:textId="77777777">
            <w:pPr>
              <w:spacing w:before="120" w:after="120"/>
            </w:pPr>
            <w:r w:rsidRPr="002F6A28">
              <w:t>Draft amendments to the Technical Regulation of the Eurasian Economic Union «On safety of attractions» (TR EAEU 038/2016) regarding the establishment of forms, schemes, and procedures for conformity assessment based on standard conformity assessment schemes (the Decision of the Council of the Eurasian Economic Commission No. 44 (April 18, 2018));</w:t>
            </w:r>
          </w:p>
          <w:p w:rsidR="00EE3A11" w:rsidRPr="002F6A28" w:rsidP="007F13E8" w14:paraId="4A4361F8" w14:textId="77777777">
            <w:pPr>
              <w:spacing w:before="120" w:after="120"/>
            </w:pPr>
            <w:hyperlink r:id="rId9" w:history="1">
              <w:r w:rsidRPr="002F6A28">
                <w:rPr>
                  <w:color w:val="0000FF"/>
                  <w:u w:val="single"/>
                </w:rPr>
                <w:t>https://regulation.eaeunion.org/pd/2971/</w:t>
              </w:r>
            </w:hyperlink>
          </w:p>
          <w:p w:rsidR="00EE3A11" w:rsidRPr="002F6A28" w:rsidP="007F13E8" w14:paraId="16124D00" w14:textId="77777777">
            <w:pPr>
              <w:spacing w:before="120" w:after="120"/>
            </w:pPr>
            <w:r w:rsidRPr="002F6A28">
              <w:t>The Technical Regulation of the Eurasian Economic Union «On safety of attractions» (TR EAEU 038/2016)</w:t>
            </w:r>
          </w:p>
          <w:p w:rsidR="00EE3A11" w:rsidRPr="002F6A28" w:rsidP="007F13E8" w14:paraId="5720ADAC" w14:textId="77777777">
            <w:pPr>
              <w:spacing w:before="120" w:after="120"/>
            </w:pPr>
            <w:hyperlink r:id="rId10" w:tgtFrame="_blank" w:history="1">
              <w:r w:rsidRPr="002F6A28">
                <w:rPr>
                  <w:color w:val="0000FF"/>
                  <w:u w:val="single"/>
                </w:rPr>
                <w:t>http://www.eurasiancommission.org/ru/act/texnreg/deptexreg/tr/Pages/TR_EEU_038.aspx</w:t>
              </w:r>
            </w:hyperlink>
          </w:p>
        </w:tc>
      </w:tr>
      <w:tr w14:paraId="40956874"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33EA8EA"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5E2ED3B" w14:textId="77777777">
            <w:pPr>
              <w:spacing w:before="120" w:after="120"/>
            </w:pPr>
            <w:r w:rsidRPr="002F6A28">
              <w:rPr>
                <w:b/>
              </w:rPr>
              <w:t>Proposed date of adoption:</w:t>
            </w:r>
            <w:r w:rsidRPr="00C379C8">
              <w:t xml:space="preserve"> To be determined</w:t>
            </w:r>
          </w:p>
          <w:p w:rsidR="00EE3A11" w:rsidRPr="002F6A28" w:rsidP="008953C4" w14:paraId="0DB3AA35" w14:textId="77777777">
            <w:pPr>
              <w:spacing w:after="120"/>
            </w:pPr>
            <w:r w:rsidRPr="002F6A28">
              <w:rPr>
                <w:b/>
              </w:rPr>
              <w:t>Proposed date of entry into force:</w:t>
            </w:r>
            <w:r w:rsidRPr="00C379C8">
              <w:t xml:space="preserve"> To be determined</w:t>
            </w:r>
          </w:p>
        </w:tc>
      </w:tr>
      <w:tr w14:paraId="0D5689E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ED502A2"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CD2C830" w14:textId="77777777">
            <w:pPr>
              <w:spacing w:before="120" w:after="120"/>
            </w:pPr>
            <w:r w:rsidRPr="002F6A28">
              <w:rPr>
                <w:b/>
              </w:rPr>
              <w:t>Final date for comments:</w:t>
            </w:r>
            <w:r w:rsidRPr="00C379C8" w:rsidR="00EE3A11">
              <w:t xml:space="preserve"> 10 May 2025</w:t>
            </w:r>
          </w:p>
        </w:tc>
      </w:tr>
      <w:tr w14:paraId="52421FE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BF5C3DA"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E6766F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FE6440F" w14:textId="77777777">
            <w:pPr>
              <w:keepNext/>
              <w:keepLines/>
              <w:rPr>
                <w:bCs/>
              </w:rPr>
            </w:pPr>
            <w:r w:rsidRPr="00A12DDE">
              <w:rPr>
                <w:bCs/>
              </w:rPr>
              <w:t>Eurasian Economic Commission</w:t>
            </w:r>
          </w:p>
          <w:p w:rsidR="00EE3A11" w:rsidRPr="00A12DDE" w:rsidP="00B16145" w14:paraId="4FCDD8FA" w14:textId="77777777">
            <w:pPr>
              <w:keepNext/>
              <w:keepLines/>
              <w:rPr>
                <w:bCs/>
              </w:rPr>
            </w:pPr>
            <w:r w:rsidRPr="00A12DDE">
              <w:rPr>
                <w:bCs/>
              </w:rPr>
              <w:t>Tel: +7(495)669-24-00</w:t>
            </w:r>
          </w:p>
          <w:p w:rsidR="00EE3A11" w:rsidRPr="00A12DDE" w:rsidP="00B16145" w14:paraId="2709CD62" w14:textId="77777777">
            <w:pPr>
              <w:keepNext/>
              <w:keepLines/>
              <w:rPr>
                <w:bCs/>
              </w:rPr>
            </w:pPr>
            <w:r w:rsidRPr="00A12DDE">
              <w:rPr>
                <w:bCs/>
              </w:rPr>
              <w:t>Fax: +7(495)669-24-15</w:t>
            </w:r>
          </w:p>
          <w:p w:rsidR="00EE3A11" w:rsidRPr="00A12DDE" w:rsidP="00B16145" w14:paraId="3E18E4EB" w14:textId="77777777">
            <w:pPr>
              <w:keepNext/>
              <w:keepLines/>
              <w:rPr>
                <w:bCs/>
              </w:rPr>
            </w:pPr>
            <w:r w:rsidRPr="00A12DDE">
              <w:rPr>
                <w:bCs/>
              </w:rPr>
              <w:t xml:space="preserve">E-mail: </w:t>
            </w:r>
            <w:hyperlink r:id="rId6" w:history="1">
              <w:r w:rsidRPr="00A12DDE">
                <w:rPr>
                  <w:bCs/>
                  <w:color w:val="0000FF"/>
                  <w:u w:val="single"/>
                </w:rPr>
                <w:t>dept_techregulation@eurasiancommission.org</w:t>
              </w:r>
            </w:hyperlink>
          </w:p>
          <w:p w:rsidR="00EE3A11" w:rsidRPr="00A12DDE" w:rsidP="00B16145" w14:paraId="5C12EDAD" w14:textId="6E290C69">
            <w:pPr>
              <w:keepNext/>
              <w:keepLines/>
              <w:rPr>
                <w:bCs/>
              </w:rPr>
            </w:pPr>
            <w:r w:rsidRPr="00A12DDE">
              <w:rPr>
                <w:bCs/>
              </w:rPr>
              <w:t xml:space="preserve">Website: </w:t>
            </w:r>
            <w:hyperlink r:id="rId7" w:history="1">
              <w:r w:rsidRPr="00C50CF9">
                <w:rPr>
                  <w:rStyle w:val="Hyperlink"/>
                  <w:bCs/>
                </w:rPr>
                <w:t>www.eurasiancommission.org</w:t>
              </w:r>
            </w:hyperlink>
            <w:r>
              <w:rPr>
                <w:bCs/>
              </w:rPr>
              <w:t xml:space="preserve"> </w:t>
            </w:r>
          </w:p>
          <w:p w:rsidR="00EE3A11" w:rsidRPr="00A12DDE" w:rsidP="00B16145" w14:paraId="5D34EBAC" w14:textId="3B658AA2">
            <w:pPr>
              <w:keepNext/>
              <w:keepLines/>
              <w:spacing w:after="120"/>
              <w:rPr>
                <w:bCs/>
              </w:rPr>
            </w:pPr>
            <w:hyperlink r:id="rId8" w:history="1">
              <w:r w:rsidRPr="00C50CF9">
                <w:rPr>
                  <w:rStyle w:val="Hyperlink"/>
                  <w:bCs/>
                </w:rPr>
                <w:t>https://docs.eaeunion.org/ru-ru</w:t>
              </w:r>
            </w:hyperlink>
            <w:r>
              <w:rPr>
                <w:bCs/>
              </w:rPr>
              <w:t xml:space="preserve"> </w:t>
            </w:r>
          </w:p>
        </w:tc>
      </w:tr>
    </w:tbl>
    <w:p w:rsidR="00EE3A11" w:rsidRPr="002F6A28" w:rsidP="002F6A28" w14:paraId="4DCF4C91" w14:textId="77777777"/>
    <w:sectPr w:rsidSect="00FD6C7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FD6C7A" w:rsidP="00FD6C7A" w14:paraId="11183967" w14:textId="69BBD3C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FD6C7A" w:rsidP="00FD6C7A" w14:paraId="7698BD58" w14:textId="0CB4868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5F6EAD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C7A" w:rsidRPr="00FD6C7A" w:rsidP="00FD6C7A" w14:paraId="61B15E66" w14:textId="77777777">
    <w:pPr>
      <w:pStyle w:val="Header"/>
      <w:pBdr>
        <w:bottom w:val="single" w:sz="4" w:space="1" w:color="auto"/>
      </w:pBdr>
      <w:tabs>
        <w:tab w:val="clear" w:pos="4513"/>
        <w:tab w:val="clear" w:pos="9027"/>
      </w:tabs>
      <w:jc w:val="center"/>
    </w:pPr>
    <w:r w:rsidRPr="00FD6C7A">
      <w:t>G/TBT/N/RUS/168</w:t>
    </w:r>
  </w:p>
  <w:p w:rsidR="00FD6C7A" w:rsidRPr="00FD6C7A" w:rsidP="00FD6C7A" w14:paraId="6AD44296" w14:textId="77777777">
    <w:pPr>
      <w:pStyle w:val="Header"/>
      <w:pBdr>
        <w:bottom w:val="single" w:sz="4" w:space="1" w:color="auto"/>
      </w:pBdr>
      <w:tabs>
        <w:tab w:val="clear" w:pos="4513"/>
        <w:tab w:val="clear" w:pos="9027"/>
      </w:tabs>
      <w:jc w:val="center"/>
    </w:pPr>
  </w:p>
  <w:p w:rsidR="00FD6C7A" w:rsidRPr="00FD6C7A" w:rsidP="00FD6C7A" w14:paraId="5053C4BE" w14:textId="6C7F4DB0">
    <w:pPr>
      <w:pStyle w:val="Header"/>
      <w:pBdr>
        <w:bottom w:val="single" w:sz="4" w:space="1" w:color="auto"/>
      </w:pBdr>
      <w:tabs>
        <w:tab w:val="clear" w:pos="4513"/>
        <w:tab w:val="clear" w:pos="9027"/>
      </w:tabs>
      <w:jc w:val="center"/>
    </w:pPr>
    <w:r w:rsidRPr="00FD6C7A">
      <w:t xml:space="preserve">- </w:t>
    </w:r>
    <w:r w:rsidRPr="00FD6C7A">
      <w:fldChar w:fldCharType="begin"/>
    </w:r>
    <w:r w:rsidRPr="00FD6C7A">
      <w:instrText xml:space="preserve"> PAGE </w:instrText>
    </w:r>
    <w:r w:rsidRPr="00FD6C7A">
      <w:fldChar w:fldCharType="separate"/>
    </w:r>
    <w:r w:rsidRPr="00FD6C7A">
      <w:rPr>
        <w:noProof/>
      </w:rPr>
      <w:t>2</w:t>
    </w:r>
    <w:r w:rsidRPr="00FD6C7A">
      <w:fldChar w:fldCharType="end"/>
    </w:r>
    <w:r w:rsidRPr="00FD6C7A">
      <w:t xml:space="preserve"> -</w:t>
    </w:r>
  </w:p>
  <w:p w:rsidR="009239F7" w:rsidRPr="00FD6C7A" w:rsidP="00FD6C7A" w14:paraId="75A164C8" w14:textId="4A87A1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C7A" w:rsidRPr="00FD6C7A" w:rsidP="00FD6C7A" w14:paraId="771802D3" w14:textId="77777777">
    <w:pPr>
      <w:pStyle w:val="Header"/>
      <w:pBdr>
        <w:bottom w:val="single" w:sz="4" w:space="1" w:color="auto"/>
      </w:pBdr>
      <w:tabs>
        <w:tab w:val="clear" w:pos="4513"/>
        <w:tab w:val="clear" w:pos="9027"/>
      </w:tabs>
      <w:jc w:val="center"/>
    </w:pPr>
    <w:r w:rsidRPr="00FD6C7A">
      <w:t>G/TBT/N/RUS/168</w:t>
    </w:r>
  </w:p>
  <w:p w:rsidR="00FD6C7A" w:rsidRPr="00FD6C7A" w:rsidP="00FD6C7A" w14:paraId="4FE620DD" w14:textId="77777777">
    <w:pPr>
      <w:pStyle w:val="Header"/>
      <w:pBdr>
        <w:bottom w:val="single" w:sz="4" w:space="1" w:color="auto"/>
      </w:pBdr>
      <w:tabs>
        <w:tab w:val="clear" w:pos="4513"/>
        <w:tab w:val="clear" w:pos="9027"/>
      </w:tabs>
      <w:jc w:val="center"/>
    </w:pPr>
  </w:p>
  <w:p w:rsidR="00FD6C7A" w:rsidRPr="00FD6C7A" w:rsidP="00FD6C7A" w14:paraId="14A6755E" w14:textId="6F31430C">
    <w:pPr>
      <w:pStyle w:val="Header"/>
      <w:pBdr>
        <w:bottom w:val="single" w:sz="4" w:space="1" w:color="auto"/>
      </w:pBdr>
      <w:tabs>
        <w:tab w:val="clear" w:pos="4513"/>
        <w:tab w:val="clear" w:pos="9027"/>
      </w:tabs>
      <w:jc w:val="center"/>
    </w:pPr>
    <w:r w:rsidRPr="00FD6C7A">
      <w:t xml:space="preserve">- </w:t>
    </w:r>
    <w:r w:rsidRPr="00FD6C7A">
      <w:fldChar w:fldCharType="begin"/>
    </w:r>
    <w:r w:rsidRPr="00FD6C7A">
      <w:instrText xml:space="preserve"> PAGE </w:instrText>
    </w:r>
    <w:r w:rsidRPr="00FD6C7A">
      <w:fldChar w:fldCharType="separate"/>
    </w:r>
    <w:r w:rsidRPr="00FD6C7A">
      <w:rPr>
        <w:noProof/>
      </w:rPr>
      <w:t>2</w:t>
    </w:r>
    <w:r w:rsidRPr="00FD6C7A">
      <w:fldChar w:fldCharType="end"/>
    </w:r>
    <w:r w:rsidRPr="00FD6C7A">
      <w:t xml:space="preserve"> -</w:t>
    </w:r>
  </w:p>
  <w:p w:rsidR="009239F7" w:rsidRPr="00FD6C7A" w:rsidP="00FD6C7A" w14:paraId="3B78EFC6" w14:textId="65B966B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3B758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8A29BF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5145F100" w14:textId="226AF5C5">
          <w:pPr>
            <w:jc w:val="right"/>
            <w:rPr>
              <w:b/>
              <w:color w:val="FF0000"/>
              <w:szCs w:val="16"/>
            </w:rPr>
          </w:pPr>
          <w:r>
            <w:rPr>
              <w:b/>
              <w:color w:val="FF0000"/>
              <w:szCs w:val="16"/>
            </w:rPr>
            <w:t xml:space="preserve"> </w:t>
          </w:r>
        </w:p>
      </w:tc>
    </w:tr>
    <w:bookmarkEnd w:id="0"/>
    <w:tr w14:paraId="2C50B48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B187E6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5B71942" w14:textId="77777777">
          <w:pPr>
            <w:jc w:val="right"/>
            <w:rPr>
              <w:b/>
              <w:szCs w:val="16"/>
            </w:rPr>
          </w:pPr>
        </w:p>
      </w:tc>
    </w:tr>
    <w:tr w14:paraId="32490FC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F2B21D9" w14:textId="77777777">
          <w:pPr>
            <w:jc w:val="left"/>
            <w:rPr>
              <w:noProof/>
              <w:lang w:eastAsia="en-GB"/>
            </w:rPr>
          </w:pPr>
        </w:p>
      </w:tc>
      <w:tc>
        <w:tcPr>
          <w:tcW w:w="5448" w:type="dxa"/>
          <w:gridSpan w:val="2"/>
          <w:shd w:val="clear" w:color="auto" w:fill="FFFFFF"/>
          <w:tcMar>
            <w:left w:w="108" w:type="dxa"/>
            <w:right w:w="108" w:type="dxa"/>
          </w:tcMar>
        </w:tcPr>
        <w:p w:rsidR="00FD6C7A" w:rsidP="00B801E9" w14:paraId="7FAA424F" w14:textId="77777777">
          <w:pPr>
            <w:jc w:val="right"/>
            <w:rPr>
              <w:b/>
              <w:szCs w:val="16"/>
            </w:rPr>
          </w:pPr>
          <w:bookmarkStart w:id="1" w:name="bmkSymbols"/>
          <w:r>
            <w:rPr>
              <w:b/>
              <w:szCs w:val="16"/>
            </w:rPr>
            <w:t>G/TBT/N/RUS/168</w:t>
          </w:r>
        </w:p>
        <w:bookmarkEnd w:id="1"/>
        <w:p w:rsidR="009239F7" w:rsidRPr="002F6A28" w:rsidP="00B801E9" w14:paraId="24BE4425" w14:textId="3F8580C8">
          <w:pPr>
            <w:jc w:val="right"/>
            <w:rPr>
              <w:b/>
              <w:szCs w:val="16"/>
            </w:rPr>
          </w:pPr>
        </w:p>
      </w:tc>
    </w:tr>
    <w:tr w14:paraId="00D7304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7EEA141" w14:textId="77777777"/>
      </w:tc>
      <w:tc>
        <w:tcPr>
          <w:tcW w:w="5448" w:type="dxa"/>
          <w:gridSpan w:val="2"/>
          <w:shd w:val="clear" w:color="auto" w:fill="FFFFFF"/>
          <w:tcMar>
            <w:left w:w="108" w:type="dxa"/>
            <w:right w:w="108" w:type="dxa"/>
          </w:tcMar>
          <w:vAlign w:val="center"/>
        </w:tcPr>
        <w:p w:rsidR="00ED54E0" w:rsidRPr="009239F7" w:rsidP="00B801E9" w14:paraId="58AD064A" w14:textId="77777777">
          <w:pPr>
            <w:jc w:val="right"/>
            <w:rPr>
              <w:szCs w:val="16"/>
            </w:rPr>
          </w:pPr>
          <w:bookmarkStart w:id="2" w:name="spsDateDistribution"/>
          <w:bookmarkStart w:id="3" w:name="bmkDate"/>
          <w:r w:rsidRPr="009239F7">
            <w:rPr>
              <w:szCs w:val="16"/>
            </w:rPr>
            <w:t>3 March 2025</w:t>
          </w:r>
          <w:bookmarkEnd w:id="2"/>
          <w:bookmarkEnd w:id="3"/>
        </w:p>
      </w:tc>
    </w:tr>
    <w:tr w14:paraId="6C9DB81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A63129E" w14:textId="77777777">
          <w:pPr>
            <w:jc w:val="left"/>
            <w:rPr>
              <w:b/>
            </w:rPr>
          </w:pPr>
          <w:bookmarkStart w:id="4" w:name="bmkSerial"/>
          <w:r>
            <w:rPr>
              <w:b w:val="0"/>
              <w:color w:val="FF0000"/>
            </w:rPr>
            <w:t>(25-1489)</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5CE0B8C"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bCs/>
              <w:noProof/>
              <w:szCs w:val="16"/>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bCs/>
              <w:noProof/>
              <w:szCs w:val="16"/>
            </w:rPr>
            <w:t>1</w:t>
          </w:r>
          <w:r w:rsidRPr="002F6A28">
            <w:rPr>
              <w:bCs/>
              <w:szCs w:val="16"/>
            </w:rPr>
            <w:fldChar w:fldCharType="end"/>
          </w:r>
          <w:bookmarkEnd w:id="5"/>
        </w:p>
      </w:tc>
    </w:tr>
    <w:tr w14:paraId="6581AB4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9AD7B4A" w14:textId="479C6032">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F5FB3CE" w14:textId="2DA38334">
          <w:pPr>
            <w:jc w:val="right"/>
            <w:rPr>
              <w:bCs/>
              <w:szCs w:val="18"/>
            </w:rPr>
          </w:pPr>
          <w:bookmarkStart w:id="7" w:name="bmkLanguage"/>
          <w:r>
            <w:rPr>
              <w:bCs/>
              <w:szCs w:val="18"/>
            </w:rPr>
            <w:t>Original: English</w:t>
          </w:r>
          <w:bookmarkEnd w:id="7"/>
        </w:p>
      </w:tc>
    </w:tr>
  </w:tbl>
  <w:p w:rsidR="00ED54E0" w:rsidRPr="002F6A28" w14:paraId="3A9544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54726396">
    <w:abstractNumId w:val="9"/>
  </w:num>
  <w:num w:numId="2" w16cid:durableId="1120149561">
    <w:abstractNumId w:val="7"/>
  </w:num>
  <w:num w:numId="3" w16cid:durableId="638615326">
    <w:abstractNumId w:val="6"/>
  </w:num>
  <w:num w:numId="4" w16cid:durableId="1501123298">
    <w:abstractNumId w:val="5"/>
  </w:num>
  <w:num w:numId="5" w16cid:durableId="1887981777">
    <w:abstractNumId w:val="4"/>
  </w:num>
  <w:num w:numId="6" w16cid:durableId="887450968">
    <w:abstractNumId w:val="12"/>
  </w:num>
  <w:num w:numId="7" w16cid:durableId="1828010115">
    <w:abstractNumId w:val="11"/>
  </w:num>
  <w:num w:numId="8" w16cid:durableId="1104686780">
    <w:abstractNumId w:val="10"/>
  </w:num>
  <w:num w:numId="9" w16cid:durableId="486750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1303582">
    <w:abstractNumId w:val="13"/>
  </w:num>
  <w:num w:numId="11" w16cid:durableId="2017078164">
    <w:abstractNumId w:val="8"/>
  </w:num>
  <w:num w:numId="12" w16cid:durableId="470251901">
    <w:abstractNumId w:val="3"/>
  </w:num>
  <w:num w:numId="13" w16cid:durableId="1372728157">
    <w:abstractNumId w:val="2"/>
  </w:num>
  <w:num w:numId="14" w16cid:durableId="578560937">
    <w:abstractNumId w:val="1"/>
  </w:num>
  <w:num w:numId="15" w16cid:durableId="1454517534">
    <w:abstractNumId w:val="0"/>
  </w:num>
  <w:num w:numId="16" w16cid:durableId="4171433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D1612"/>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66B2A"/>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76D98"/>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35987"/>
    <w:rsid w:val="00B4237E"/>
    <w:rsid w:val="00B52738"/>
    <w:rsid w:val="00B55105"/>
    <w:rsid w:val="00B56EDC"/>
    <w:rsid w:val="00B57342"/>
    <w:rsid w:val="00B6007A"/>
    <w:rsid w:val="00B7102C"/>
    <w:rsid w:val="00B77AA5"/>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50CF9"/>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D6C7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ED62D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 w:type="character" w:styleId="UnresolvedMention">
    <w:name w:val="Unresolved Mention"/>
    <w:basedOn w:val="DefaultParagraphFont"/>
    <w:uiPriority w:val="99"/>
    <w:rsid w:val="00366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urasiancommission.org/ru/act/texnreg/deptexreg/tr/Pages/TR_EEU_038.aspx"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dept_techregulation@eurasiancommission.org" TargetMode="External" /><Relationship Id="rId7" Type="http://schemas.openxmlformats.org/officeDocument/2006/relationships/hyperlink" Target="http://www.eurasiancommission.org" TargetMode="External" /><Relationship Id="rId8" Type="http://schemas.openxmlformats.org/officeDocument/2006/relationships/hyperlink" Target="https://docs.eaeunion.org/ru-ru" TargetMode="External" /><Relationship Id="rId9" Type="http://schemas.openxmlformats.org/officeDocument/2006/relationships/hyperlink" Target="https://regulation.eaeunion.org/pd/297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8FABBDF-F857-47E3-90F6-BD6B2AC411B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2025-03-03T10:07:00Z</dcterms:created>
  <dcterms:modified xsi:type="dcterms:W3CDTF">2025-03-03T10:11:00Z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G/TBT/N/RUS/168</vt:lpwstr>
  </property>
  <property fmtid="{D5CDD505-2E9C-101B-9397-08002B2CF9AE}" pid="3" name="TitusGUID">
    <vt:lpwstr>ed4ed1c2-475a-44f4-91f5-9f966da0b6a6</vt:lpwstr>
  </property>
  <property fmtid="{D5CDD505-2E9C-101B-9397-08002B2CF9AE}" pid="4" name="WTOCLASSIFICATION">
    <vt:lpwstr>WTO OFFICIAL</vt:lpwstr>
  </property>
</Properties>
</file>