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8A05FD4" w14:textId="77777777">
      <w:pPr>
        <w:pStyle w:val="Title"/>
      </w:pPr>
      <w:r w:rsidRPr="002F663C">
        <w:t>NOTIFICATION</w:t>
      </w:r>
    </w:p>
    <w:p w:rsidR="002F663C" w:rsidRPr="002F663C" w:rsidP="00DD3DD7" w14:paraId="7B8908D3" w14:textId="77777777">
      <w:pPr>
        <w:pStyle w:val="Title3"/>
      </w:pPr>
      <w:r w:rsidRPr="002F663C">
        <w:t>Addendum</w:t>
      </w:r>
    </w:p>
    <w:p w:rsidR="002F663C" w:rsidP="001E2E4A" w14:paraId="53248B6D"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28 February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Philippines</w:t>
      </w:r>
      <w:r w:rsidRPr="002F663C">
        <w:rPr>
          <w:rFonts w:eastAsia="Calibri" w:cs="Times New Roman"/>
        </w:rPr>
        <w:t>.</w:t>
      </w:r>
    </w:p>
    <w:p w:rsidR="001E2E4A" w:rsidRPr="002F663C" w:rsidP="001E2E4A" w14:paraId="3C05A958" w14:textId="77777777">
      <w:pPr>
        <w:rPr>
          <w:rFonts w:eastAsia="Calibri" w:cs="Times New Roman"/>
        </w:rPr>
      </w:pPr>
    </w:p>
    <w:p w:rsidR="002F663C" w:rsidRPr="002F663C" w:rsidP="002F663C" w14:paraId="403E5927" w14:textId="77777777">
      <w:pPr>
        <w:jc w:val="center"/>
        <w:rPr>
          <w:rFonts w:eastAsia="Calibri" w:cs="Times New Roman"/>
          <w:b/>
        </w:rPr>
      </w:pPr>
      <w:r w:rsidRPr="002F663C">
        <w:rPr>
          <w:rFonts w:eastAsia="Calibri" w:cs="Times New Roman"/>
          <w:b/>
        </w:rPr>
        <w:t>_______________</w:t>
      </w:r>
    </w:p>
    <w:p w:rsidR="002F663C" w:rsidP="002F663C" w14:paraId="32EF123F" w14:textId="77777777">
      <w:pPr>
        <w:rPr>
          <w:rFonts w:eastAsia="Calibri" w:cs="Times New Roman"/>
        </w:rPr>
      </w:pPr>
    </w:p>
    <w:p w:rsidR="00C14444" w:rsidRPr="002F663C" w:rsidP="002F663C" w14:paraId="189BD601" w14:textId="77777777">
      <w:pPr>
        <w:rPr>
          <w:rFonts w:eastAsia="Calibri" w:cs="Times New Roman"/>
        </w:rPr>
      </w:pPr>
    </w:p>
    <w:p w:rsidR="002F663C" w:rsidRPr="002F663C" w:rsidP="002F663C" w14:paraId="2D6D930C" w14:textId="219AE436">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FDA Circular No.2025-0001 </w:t>
      </w:r>
      <w:r>
        <w:rPr>
          <w:rFonts w:eastAsia="Calibri" w:cs="Times New Roman"/>
          <w:bCs/>
          <w:szCs w:val="18"/>
        </w:rPr>
        <w:t>-</w:t>
      </w:r>
      <w:r w:rsidRPr="00022513">
        <w:rPr>
          <w:rFonts w:eastAsia="Calibri" w:cs="Times New Roman"/>
          <w:bCs/>
          <w:szCs w:val="18"/>
        </w:rPr>
        <w:t xml:space="preserve"> Guidelines on the Classification of Vitamins and </w:t>
      </w:r>
      <w:r w:rsidRPr="00022513">
        <w:rPr>
          <w:rFonts w:eastAsia="Calibri" w:cs="Times New Roman"/>
          <w:bCs/>
          <w:szCs w:val="18"/>
        </w:rPr>
        <w:t>Minerals for Food/Dietary Supplements for Adults under Processed Food Product, Repealing the Level Set for Food in the Office Order No. 22 s. 1991 entitled "Guidelines for the Classification of Vitamins and Minerals as Drug or as Food"</w:t>
      </w:r>
    </w:p>
    <w:p w:rsidR="002F663C" w:rsidRPr="002F663C" w:rsidP="002F663C" w14:paraId="5FAEED0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F121DD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54C906A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868825C" w14:textId="77777777" w:rsidTr="00E9471B">
        <w:tblPrEx>
          <w:tblW w:w="9049" w:type="dxa"/>
          <w:tblLayout w:type="fixed"/>
          <w:tblLook w:val="04A0"/>
        </w:tblPrEx>
        <w:tc>
          <w:tcPr>
            <w:tcW w:w="851" w:type="dxa"/>
            <w:shd w:val="clear" w:color="auto" w:fill="auto"/>
          </w:tcPr>
          <w:p w:rsidR="002F663C" w:rsidRPr="00711F9C" w:rsidP="00C14444" w14:paraId="350EEE9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8E4B10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E53024E" w14:textId="77777777" w:rsidTr="00E9471B">
        <w:tblPrEx>
          <w:tblW w:w="9049" w:type="dxa"/>
          <w:tblLayout w:type="fixed"/>
          <w:tblLook w:val="04A0"/>
        </w:tblPrEx>
        <w:tc>
          <w:tcPr>
            <w:tcW w:w="851" w:type="dxa"/>
            <w:shd w:val="clear" w:color="auto" w:fill="auto"/>
          </w:tcPr>
          <w:p w:rsidR="002F663C" w:rsidRPr="00711F9C" w:rsidP="00C14444" w14:paraId="7C5DBFF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39A379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4651FD1" w14:textId="77777777" w:rsidTr="00E9471B">
        <w:tblPrEx>
          <w:tblW w:w="9049" w:type="dxa"/>
          <w:tblLayout w:type="fixed"/>
          <w:tblLook w:val="04A0"/>
        </w:tblPrEx>
        <w:tc>
          <w:tcPr>
            <w:tcW w:w="851" w:type="dxa"/>
            <w:shd w:val="clear" w:color="auto" w:fill="auto"/>
          </w:tcPr>
          <w:p w:rsidR="002F663C" w:rsidRPr="00711F9C" w:rsidP="00C14444" w14:paraId="118C468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D79600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264038EB" w14:textId="77777777" w:rsidTr="00E9471B">
        <w:tblPrEx>
          <w:tblW w:w="9049" w:type="dxa"/>
          <w:tblLayout w:type="fixed"/>
          <w:tblLook w:val="04A0"/>
        </w:tblPrEx>
        <w:tc>
          <w:tcPr>
            <w:tcW w:w="851" w:type="dxa"/>
            <w:shd w:val="clear" w:color="auto" w:fill="auto"/>
          </w:tcPr>
          <w:p w:rsidR="002F663C" w:rsidRPr="00711F9C" w:rsidP="00C14444" w14:paraId="76826EC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4E026E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01A4C821" w14:textId="77777777" w:rsidTr="00E9471B">
        <w:tblPrEx>
          <w:tblW w:w="9049" w:type="dxa"/>
          <w:tblLayout w:type="fixed"/>
          <w:tblLook w:val="04A0"/>
        </w:tblPrEx>
        <w:tc>
          <w:tcPr>
            <w:tcW w:w="851" w:type="dxa"/>
            <w:shd w:val="clear" w:color="auto" w:fill="auto"/>
          </w:tcPr>
          <w:p w:rsidR="002F663C" w:rsidRPr="00711F9C" w:rsidP="00C14444" w14:paraId="08D4452C"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526E6C7E"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714510DC" w14:textId="77777777">
            <w:pPr>
              <w:spacing w:before="120" w:after="120"/>
              <w:rPr>
                <w:rFonts w:eastAsia="Calibri" w:cs="Times New Roman"/>
              </w:rPr>
            </w:pPr>
            <w:hyperlink r:id="rId6" w:tgtFrame="_blank" w:history="1">
              <w:r w:rsidRPr="002F663C">
                <w:rPr>
                  <w:rFonts w:eastAsia="Calibri" w:cs="Times New Roman"/>
                  <w:color w:val="0000FF"/>
                  <w:u w:val="single"/>
                </w:rPr>
                <w:t>https://www.fda.gov.ph/fda-circular-no-2025-0001-guidelines-on-the-classification-of-vitamins-and-</w:t>
              </w:r>
              <w:r w:rsidRPr="002F663C">
                <w:rPr>
                  <w:rFonts w:eastAsia="Calibri" w:cs="Times New Roman"/>
                  <w:color w:val="0000FF"/>
                  <w:u w:val="single"/>
                </w:rPr>
                <w:t>m</w:t>
              </w:r>
              <w:r w:rsidRPr="002F663C">
                <w:rPr>
                  <w:rFonts w:eastAsia="Calibri" w:cs="Times New Roman"/>
                  <w:color w:val="0000FF"/>
                  <w:u w:val="single"/>
                </w:rPr>
                <w:t>inerals-for-food-dietary-supplements-for-adults-under-processed-food-product-repealing-the-level-set-for-food-in-the-off/</w:t>
              </w:r>
            </w:hyperlink>
          </w:p>
        </w:tc>
      </w:tr>
      <w:tr w14:paraId="5D661D36" w14:textId="77777777" w:rsidTr="00E9471B">
        <w:tblPrEx>
          <w:tblW w:w="9049" w:type="dxa"/>
          <w:tblLayout w:type="fixed"/>
          <w:tblLook w:val="04A0"/>
        </w:tblPrEx>
        <w:tc>
          <w:tcPr>
            <w:tcW w:w="851" w:type="dxa"/>
            <w:shd w:val="clear" w:color="auto" w:fill="auto"/>
          </w:tcPr>
          <w:p w:rsidR="002F663C" w:rsidRPr="00711F9C" w:rsidP="00C14444" w14:paraId="299E456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7D82DD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B64999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A58D74C" w14:textId="77777777" w:rsidTr="00E9471B">
        <w:tblPrEx>
          <w:tblW w:w="9049" w:type="dxa"/>
          <w:tblLayout w:type="fixed"/>
          <w:tblLook w:val="04A0"/>
        </w:tblPrEx>
        <w:tc>
          <w:tcPr>
            <w:tcW w:w="851" w:type="dxa"/>
            <w:shd w:val="clear" w:color="auto" w:fill="auto"/>
          </w:tcPr>
          <w:p w:rsidR="002F663C" w:rsidRPr="00711F9C" w:rsidP="00C14444" w14:paraId="317B802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9F02258"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C62836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9531969" w14:textId="77777777" w:rsidTr="00E9471B">
        <w:tblPrEx>
          <w:tblW w:w="9049" w:type="dxa"/>
          <w:tblLayout w:type="fixed"/>
          <w:tblLook w:val="04A0"/>
        </w:tblPrEx>
        <w:tc>
          <w:tcPr>
            <w:tcW w:w="851" w:type="dxa"/>
            <w:shd w:val="clear" w:color="auto" w:fill="auto"/>
          </w:tcPr>
          <w:p w:rsidR="002F663C" w:rsidRPr="00711F9C" w:rsidP="00C14444" w14:paraId="2D484B4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497C1C36" w14:textId="77777777">
            <w:pPr>
              <w:spacing w:before="60" w:after="60"/>
              <w:rPr>
                <w:rFonts w:eastAsia="Calibri" w:cs="Times New Roman"/>
              </w:rPr>
            </w:pPr>
            <w:r>
              <w:rPr>
                <w:rFonts w:eastAsia="Calibri" w:cs="Times New Roman"/>
              </w:rPr>
              <w:t>I</w:t>
            </w:r>
            <w:r w:rsidRPr="002F663C">
              <w:rPr>
                <w:rFonts w:eastAsia="Calibri" w:cs="Times New Roman"/>
              </w:rPr>
              <w:t xml:space="preserve">nterpretive guidance issued and text </w:t>
            </w:r>
            <w:r w:rsidRPr="002F663C">
              <w:rPr>
                <w:rFonts w:eastAsia="Calibri" w:cs="Times New Roman"/>
              </w:rPr>
              <w:t>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5264BEF"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4402AA2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3546B8A4"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93C004A" w14:textId="77777777">
      <w:pPr>
        <w:jc w:val="left"/>
        <w:rPr>
          <w:rFonts w:eastAsia="Calibri" w:cs="Times New Roman"/>
          <w:highlight w:val="yellow"/>
        </w:rPr>
      </w:pPr>
    </w:p>
    <w:p w:rsidR="003971FF" w:rsidRPr="007F6EA2" w:rsidP="00B16ACF" w14:paraId="6DE4097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p>
    <w:p w:rsidR="006C5A96" w:rsidP="006C5A96" w14:paraId="604B5033" w14:textId="77777777">
      <w:pPr>
        <w:jc w:val="center"/>
        <w:rPr>
          <w:b/>
        </w:rPr>
      </w:pPr>
      <w:r w:rsidRPr="003971FF">
        <w:rPr>
          <w:b/>
        </w:rPr>
        <w:t>__________</w:t>
      </w:r>
    </w:p>
    <w:p w:rsidR="004D4D19" w:rsidP="007F38C2" w14:paraId="4450A30C" w14:textId="77777777">
      <w:pPr>
        <w:jc w:val="center"/>
        <w:rPr>
          <w:b/>
        </w:rPr>
      </w:pPr>
    </w:p>
    <w:p w:rsidR="00A1565D" w:rsidP="003971FF" w14:paraId="648BDA20" w14:textId="77777777">
      <w:pPr>
        <w:jc w:val="center"/>
        <w:rPr>
          <w:b/>
        </w:rPr>
      </w:pPr>
    </w:p>
    <w:sectPr w:rsidSect="006C5A96">
      <w:headerReference w:type="even" r:id="rId7"/>
      <w:headerReference w:type="default" r:id="rId8"/>
      <w:footerReference w:type="even" r:id="rId9"/>
      <w:footerReference w:type="default" r:id="rId10"/>
      <w:headerReference w:type="first" r:id="rId1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1E7DBB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C8BC119"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8B9EB66" w14:textId="77777777">
      <w:r>
        <w:separator/>
      </w:r>
    </w:p>
  </w:footnote>
  <w:footnote w:type="continuationSeparator" w:id="1">
    <w:p w:rsidR="004D3A6A" w:rsidP="00ED54E0" w14:paraId="74A0EC34" w14:textId="77777777">
      <w:r>
        <w:continuationSeparator/>
      </w:r>
    </w:p>
  </w:footnote>
  <w:footnote w:id="2">
    <w:p w:rsidR="007F6EA2" w14:paraId="207617B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7A81ADF"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71BD9EB" w14:textId="77777777">
    <w:pPr>
      <w:pStyle w:val="Header"/>
      <w:pBdr>
        <w:bottom w:val="single" w:sz="4" w:space="1" w:color="auto"/>
      </w:pBdr>
      <w:tabs>
        <w:tab w:val="clear" w:pos="4513"/>
        <w:tab w:val="clear" w:pos="9027"/>
      </w:tabs>
      <w:jc w:val="center"/>
    </w:pPr>
  </w:p>
  <w:p w:rsidR="00DD3DD7" w:rsidRPr="00DD3DD7" w:rsidP="00DD3DD7" w14:paraId="4283DE5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7F5A4D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AD0055E" w14:textId="77777777">
    <w:pPr>
      <w:pStyle w:val="Header"/>
      <w:pBdr>
        <w:bottom w:val="single" w:sz="4" w:space="1" w:color="auto"/>
      </w:pBdr>
      <w:tabs>
        <w:tab w:val="clear" w:pos="4513"/>
        <w:tab w:val="clear" w:pos="9027"/>
      </w:tabs>
      <w:jc w:val="center"/>
    </w:pPr>
    <w:bookmarkStart w:id="3" w:name="spsSymbolHeader"/>
    <w:r w:rsidRPr="00DD3DD7">
      <w:t>G/TBT/N/PHL/321/Add.1</w:t>
    </w:r>
    <w:bookmarkEnd w:id="3"/>
  </w:p>
  <w:p w:rsidR="00DD3DD7" w:rsidRPr="00DD3DD7" w:rsidP="00DD3DD7" w14:paraId="396AA50A" w14:textId="77777777">
    <w:pPr>
      <w:pStyle w:val="Header"/>
      <w:pBdr>
        <w:bottom w:val="single" w:sz="4" w:space="1" w:color="auto"/>
      </w:pBdr>
      <w:tabs>
        <w:tab w:val="clear" w:pos="4513"/>
        <w:tab w:val="clear" w:pos="9027"/>
      </w:tabs>
      <w:jc w:val="center"/>
    </w:pPr>
  </w:p>
  <w:p w:rsidR="00DD3DD7" w:rsidRPr="00DD3DD7" w:rsidP="00DD3DD7" w14:paraId="4B4A4BD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7C4B934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3C55744"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28AF098"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73CD508" w14:textId="77777777">
          <w:pPr>
            <w:jc w:val="right"/>
            <w:rPr>
              <w:b/>
              <w:color w:val="FF0000"/>
              <w:szCs w:val="16"/>
            </w:rPr>
          </w:pPr>
          <w:r>
            <w:rPr>
              <w:b/>
              <w:color w:val="FF0000"/>
              <w:szCs w:val="16"/>
            </w:rPr>
            <w:t xml:space="preserve"> </w:t>
          </w:r>
        </w:p>
      </w:tc>
    </w:tr>
    <w:tr w14:paraId="71C49B7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4B1B0D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FDAA3A4" w14:textId="77777777">
          <w:pPr>
            <w:jc w:val="right"/>
            <w:rPr>
              <w:b/>
              <w:szCs w:val="16"/>
            </w:rPr>
          </w:pPr>
        </w:p>
      </w:tc>
    </w:tr>
    <w:tr w14:paraId="4467E40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E8E5DEF"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6B66AF8" w14:textId="77777777">
          <w:pPr>
            <w:jc w:val="right"/>
            <w:rPr>
              <w:rFonts w:eastAsia="Calibri" w:cs="Times New Roman"/>
              <w:b/>
              <w:szCs w:val="16"/>
            </w:rPr>
          </w:pPr>
          <w:bookmarkStart w:id="4" w:name="bmkSymbols"/>
          <w:r w:rsidRPr="002F663C">
            <w:rPr>
              <w:rFonts w:eastAsia="Calibri" w:cs="Times New Roman"/>
              <w:b/>
              <w:szCs w:val="16"/>
            </w:rPr>
            <w:t>G/TBT/N/PHL/321/Add.1</w:t>
          </w:r>
          <w:bookmarkEnd w:id="4"/>
        </w:p>
        <w:p w:rsidR="00C14444" w:rsidRPr="00C14444" w:rsidP="00C14444" w14:paraId="2F32A16F" w14:textId="77777777">
          <w:pPr>
            <w:jc w:val="center"/>
            <w:rPr>
              <w:szCs w:val="16"/>
            </w:rPr>
          </w:pPr>
        </w:p>
      </w:tc>
    </w:tr>
    <w:tr w14:paraId="1A6B903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0A3F666" w14:textId="77777777"/>
      </w:tc>
      <w:tc>
        <w:tcPr>
          <w:tcW w:w="5448" w:type="dxa"/>
          <w:gridSpan w:val="2"/>
          <w:shd w:val="clear" w:color="auto" w:fill="FFFFFF"/>
          <w:tcMar>
            <w:left w:w="108" w:type="dxa"/>
            <w:right w:w="108" w:type="dxa"/>
          </w:tcMar>
          <w:vAlign w:val="center"/>
        </w:tcPr>
        <w:p w:rsidR="00ED54E0" w:rsidRPr="00182B84" w:rsidP="00425DC5" w14:paraId="0D308BB0" w14:textId="77777777">
          <w:pPr>
            <w:jc w:val="right"/>
            <w:rPr>
              <w:szCs w:val="16"/>
            </w:rPr>
          </w:pPr>
          <w:bookmarkStart w:id="5" w:name="bmkDate"/>
          <w:r w:rsidRPr="00182B84">
            <w:rPr>
              <w:szCs w:val="16"/>
            </w:rPr>
            <w:t>28 February 2025</w:t>
          </w:r>
          <w:bookmarkEnd w:id="5"/>
        </w:p>
      </w:tc>
    </w:tr>
    <w:tr w14:paraId="2A62D1CB"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B8961EF" w14:textId="77777777">
          <w:pPr>
            <w:jc w:val="left"/>
            <w:rPr>
              <w:b/>
            </w:rPr>
          </w:pPr>
          <w:bookmarkStart w:id="6" w:name="bmkSerial"/>
          <w:r>
            <w:rPr>
              <w:b w:val="0"/>
              <w:color w:val="FF0000"/>
            </w:rPr>
            <w:t>(25-1461)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07EC545"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bCs/>
              <w:noProof/>
              <w:szCs w:val="16"/>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bCs/>
              <w:noProof/>
              <w:szCs w:val="16"/>
            </w:rPr>
            <w:t>1</w:t>
          </w:r>
          <w:r w:rsidRPr="00182B84">
            <w:rPr>
              <w:bCs/>
              <w:szCs w:val="16"/>
            </w:rPr>
            <w:fldChar w:fldCharType="end"/>
          </w:r>
        </w:p>
      </w:tc>
    </w:tr>
    <w:tr w14:paraId="3F02B01E"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C17178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CEEC4DB"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52B4F5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0439301">
    <w:abstractNumId w:val="9"/>
  </w:num>
  <w:num w:numId="2" w16cid:durableId="1261067104">
    <w:abstractNumId w:val="7"/>
  </w:num>
  <w:num w:numId="3" w16cid:durableId="1273050607">
    <w:abstractNumId w:val="6"/>
  </w:num>
  <w:num w:numId="4" w16cid:durableId="1383208335">
    <w:abstractNumId w:val="5"/>
  </w:num>
  <w:num w:numId="5" w16cid:durableId="272633585">
    <w:abstractNumId w:val="4"/>
  </w:num>
  <w:num w:numId="6" w16cid:durableId="952396095">
    <w:abstractNumId w:val="12"/>
  </w:num>
  <w:num w:numId="7" w16cid:durableId="1884905985">
    <w:abstractNumId w:val="11"/>
  </w:num>
  <w:num w:numId="8" w16cid:durableId="867063139">
    <w:abstractNumId w:val="10"/>
  </w:num>
  <w:num w:numId="9" w16cid:durableId="15805615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4296051">
    <w:abstractNumId w:val="13"/>
  </w:num>
  <w:num w:numId="11" w16cid:durableId="746806564">
    <w:abstractNumId w:val="8"/>
  </w:num>
  <w:num w:numId="12" w16cid:durableId="600572218">
    <w:abstractNumId w:val="3"/>
  </w:num>
  <w:num w:numId="13" w16cid:durableId="2105371791">
    <w:abstractNumId w:val="2"/>
  </w:num>
  <w:num w:numId="14" w16cid:durableId="884365694">
    <w:abstractNumId w:val="1"/>
  </w:num>
  <w:num w:numId="15" w16cid:durableId="2038702348">
    <w:abstractNumId w:val="0"/>
  </w:num>
  <w:num w:numId="16" w16cid:durableId="72892161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E557E"/>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49B"/>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A3F39"/>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1834"/>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046F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fda.gov.ph/fda-circular-no-2025-0001-guidelines-on-the-classification-of-vitamins-and-minerals-for-food-dietary-supplements-for-adults-under-processed-food-product-repealing-the-level-set-for-food-in-the-off/"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2025-02-28T10:08:00Z</dcterms:created>
  <dcterms:modified xsi:type="dcterms:W3CDTF">2025-02-28T10:09:00Z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