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D76791E" w14:textId="77777777">
      <w:pPr>
        <w:pStyle w:val="Title"/>
      </w:pPr>
      <w:r w:rsidRPr="002F663C">
        <w:t>NOTIFICATION</w:t>
      </w:r>
    </w:p>
    <w:p w:rsidR="002F663C" w:rsidRPr="002F663C" w:rsidP="00DD3DD7" w14:paraId="151135C3" w14:textId="77777777">
      <w:pPr>
        <w:pStyle w:val="Title3"/>
      </w:pPr>
      <w:r w:rsidRPr="002F663C">
        <w:t>Addendum</w:t>
      </w:r>
    </w:p>
    <w:p w:rsidR="002F663C" w:rsidP="001E2E4A" w14:paraId="504846B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7FCDC241" w14:textId="77777777">
      <w:pPr>
        <w:rPr>
          <w:rFonts w:eastAsia="Calibri" w:cs="Times New Roman"/>
        </w:rPr>
      </w:pPr>
    </w:p>
    <w:p w:rsidR="002F663C" w:rsidRPr="002F663C" w:rsidP="002F663C" w14:paraId="13A2276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ECE9AEB" w14:textId="77777777">
      <w:pPr>
        <w:rPr>
          <w:rFonts w:eastAsia="Calibri" w:cs="Times New Roman"/>
        </w:rPr>
      </w:pPr>
    </w:p>
    <w:p w:rsidR="00C14444" w:rsidRPr="002F663C" w:rsidP="002F663C" w14:paraId="671A16EA" w14:textId="77777777">
      <w:pPr>
        <w:rPr>
          <w:rFonts w:eastAsia="Calibri" w:cs="Times New Roman"/>
        </w:rPr>
      </w:pPr>
    </w:p>
    <w:p w:rsidR="002F663C" w:rsidRPr="002F663C" w:rsidP="002F663C" w14:paraId="6EEDFE4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Ministry of Industry on Mandatory Indonesia National Standard for </w:t>
      </w:r>
      <w:r w:rsidRPr="00022513">
        <w:rPr>
          <w:rFonts w:eastAsia="Calibri" w:cs="Times New Roman"/>
          <w:bCs/>
          <w:szCs w:val="18"/>
        </w:rPr>
        <w:t>Primary Battery - part 1 : General (SNI 04-2051.1-2004); Primary Battery - part 2 : Electrical and Physical Requirement (SNI 04-2051.2-2004).</w:t>
      </w:r>
    </w:p>
    <w:p w:rsidR="002F663C" w:rsidRPr="002F663C" w:rsidP="002F663C" w14:paraId="3B40B98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4D8E9D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D19E0F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42AC1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08F526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558A1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F2B4E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526E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05B07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13 November 2024</w:t>
            </w:r>
          </w:p>
        </w:tc>
      </w:tr>
      <w:tr w14:paraId="6BEE5D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7336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E025E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November 2024</w:t>
            </w:r>
          </w:p>
        </w:tc>
      </w:tr>
      <w:tr w14:paraId="70729C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9672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C353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May 2025</w:t>
            </w:r>
          </w:p>
        </w:tc>
      </w:tr>
      <w:tr w14:paraId="7B06B9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E395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0F6091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9C6FBA4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https://jdih.kemenperin.go.id/dokumen/view?id=1554</w:t>
              </w:r>
            </w:hyperlink>
          </w:p>
          <w:p w:rsidR="002F663C" w:rsidRPr="002F663C" w:rsidP="00EB7B40" w14:paraId="51B07F0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https://members.wto.org/crnattachments/2025/TBT/IDN/final_measure/25_01646_00_x.pdf</w:t>
              </w:r>
            </w:hyperlink>
          </w:p>
        </w:tc>
      </w:tr>
      <w:tr w14:paraId="3E254E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FD36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C2A12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50C264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C96E2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84652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CD214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270CDE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C964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384663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95311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6F2DE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325ED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10A65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E4AC65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5A80F4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Regulation of Minister of Industry No 101/M-IND/PER/10/2009 has been revoked and replaced by Regulation of Minister of Industry No. 69 Year 2024 regarding Mandatory Implementation of Indonesia National Standard for Primary Battery. </w:t>
      </w:r>
    </w:p>
    <w:p w:rsidR="008B6646" w:rsidRPr="002F663C" w:rsidP="00B16ACF" w14:paraId="6B5E496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 , including product quality testing based on:</w:t>
      </w:r>
    </w:p>
    <w:p w:rsidR="008B6646" w:rsidRPr="002F663C" w:rsidP="00B16ACF" w14:paraId="1B3269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1. SNI IEC 60086-1:2015 Primary Batteries - Part 1: General (IEC 60086-1:2011, IDT); and</w:t>
      </w:r>
    </w:p>
    <w:p w:rsidR="008B6646" w:rsidRPr="002F663C" w:rsidP="00B16ACF" w14:paraId="77F9DA4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2. SNI IEC 60086-2:2015 Primary batteries - Part 2: Physical and electrical specifications (IEC 60086-2:2011, IDT).</w:t>
      </w:r>
    </w:p>
    <w:p w:rsidR="008B6646" w:rsidRPr="002F663C" w:rsidP="00B16ACF" w14:paraId="4736F9E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which have a tariff post/harmonized system number:</w:t>
      </w:r>
    </w:p>
    <w:p w:rsidR="008B6646" w:rsidRPr="002F663C" w:rsidP="00B16ACF" w14:paraId="231F054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a. ex. 8506.10.11;</w:t>
      </w:r>
    </w:p>
    <w:p w:rsidR="008B6646" w:rsidRPr="002F663C" w:rsidP="00B16ACF" w14:paraId="781ABB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b. ex. 8506.10.12;</w:t>
      </w:r>
    </w:p>
    <w:p w:rsidR="008B6646" w:rsidRPr="002F663C" w:rsidP="00B16ACF" w14:paraId="34A951D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c. ex. 8506.10.19;</w:t>
      </w:r>
    </w:p>
    <w:p w:rsidR="008B6646" w:rsidRPr="002F663C" w:rsidP="00B16ACF" w14:paraId="5EB5629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d. ex. 8506.10.91;</w:t>
      </w:r>
    </w:p>
    <w:p w:rsidR="008B6646" w:rsidRPr="002F663C" w:rsidP="00B16ACF" w14:paraId="6F954C7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e. ex. 8506.10.99;</w:t>
      </w:r>
    </w:p>
    <w:p w:rsidR="008B6646" w:rsidRPr="002F663C" w:rsidP="00B16ACF" w14:paraId="4DA388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f. ex. 8506.50.00;</w:t>
      </w:r>
    </w:p>
    <w:p w:rsidR="008B6646" w:rsidRPr="002F663C" w:rsidP="00B16ACF" w14:paraId="15AD59C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g. ex. 8506.80.30; and</w:t>
      </w:r>
    </w:p>
    <w:p w:rsidR="008B6646" w:rsidRPr="002F663C" w:rsidP="00B16ACF" w14:paraId="36592EA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h. ex. 8506.80.90.</w:t>
      </w:r>
    </w:p>
    <w:p w:rsidR="008B6646" w:rsidRPr="002F663C" w:rsidP="00B16ACF" w14:paraId="165FD24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primary battery products produced before this regulation may still be distributed for a maximum of 1 (one) year from the enforcement date.</w:t>
      </w:r>
    </w:p>
    <w:p w:rsidR="006C5A96" w:rsidP="006C5A96" w14:paraId="7513A3B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D7BC7B2" w14:textId="77777777">
      <w:pPr>
        <w:jc w:val="center"/>
        <w:rPr>
          <w:b/>
        </w:rPr>
      </w:pPr>
    </w:p>
    <w:p w:rsidR="00A1565D" w:rsidP="003971FF" w14:paraId="60A8BE0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B9ADDC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8A933A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1C8BC96" w14:textId="77777777">
      <w:r>
        <w:separator/>
      </w:r>
    </w:p>
  </w:footnote>
  <w:footnote w:type="continuationSeparator" w:id="1">
    <w:p w:rsidR="004D3A6A" w:rsidP="00ED54E0" w14:paraId="43B78413" w14:textId="77777777">
      <w:r>
        <w:continuationSeparator/>
      </w:r>
    </w:p>
  </w:footnote>
  <w:footnote w:id="2">
    <w:p w:rsidR="007F6EA2" w14:paraId="2EFE772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B34E9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7E34A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5A75B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070CE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57478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G/TBT/N/IDN/21/Add.1</w:t>
    </w:r>
    <w:bookmarkEnd w:id="3"/>
  </w:p>
  <w:p w:rsidR="00DD3DD7" w:rsidRPr="00DD3DD7" w:rsidP="00DD3DD7" w14:paraId="4038AD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97351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81ACBF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09B97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72AC0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3F2F6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315D04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91BDAA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A0E248" w14:textId="77777777">
          <w:pPr>
            <w:jc w:val="right"/>
            <w:rPr>
              <w:b/>
              <w:szCs w:val="16"/>
            </w:rPr>
          </w:pPr>
        </w:p>
      </w:tc>
    </w:tr>
    <w:tr w14:paraId="2D334AE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6E411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689EA6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G/TBT/N/IDN/21/Add.1</w:t>
          </w:r>
          <w:bookmarkEnd w:id="4"/>
        </w:p>
        <w:p w:rsidR="00C14444" w:rsidRPr="00C14444" w:rsidP="00C14444" w14:paraId="23F29B0F" w14:textId="77777777">
          <w:pPr>
            <w:jc w:val="center"/>
            <w:rPr>
              <w:szCs w:val="16"/>
            </w:rPr>
          </w:pPr>
        </w:p>
      </w:tc>
    </w:tr>
    <w:tr w14:paraId="41CB459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CDE34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93EBD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February 2025</w:t>
          </w:r>
          <w:bookmarkEnd w:id="5"/>
        </w:p>
      </w:tc>
    </w:tr>
    <w:tr w14:paraId="09401AE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E38707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(25-1351)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63F663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A41168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B55C79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4D7EA3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E09E4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4443156">
    <w:abstractNumId w:val="9"/>
  </w:num>
  <w:num w:numId="2" w16cid:durableId="2000041020">
    <w:abstractNumId w:val="7"/>
  </w:num>
  <w:num w:numId="3" w16cid:durableId="517425793">
    <w:abstractNumId w:val="6"/>
  </w:num>
  <w:num w:numId="4" w16cid:durableId="383481593">
    <w:abstractNumId w:val="5"/>
  </w:num>
  <w:num w:numId="5" w16cid:durableId="1427073538">
    <w:abstractNumId w:val="4"/>
  </w:num>
  <w:num w:numId="6" w16cid:durableId="241107943">
    <w:abstractNumId w:val="12"/>
  </w:num>
  <w:num w:numId="7" w16cid:durableId="1771076189">
    <w:abstractNumId w:val="11"/>
  </w:num>
  <w:num w:numId="8" w16cid:durableId="69474677">
    <w:abstractNumId w:val="10"/>
  </w:num>
  <w:num w:numId="9" w16cid:durableId="2763276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6132837">
    <w:abstractNumId w:val="13"/>
  </w:num>
  <w:num w:numId="11" w16cid:durableId="1936018784">
    <w:abstractNumId w:val="8"/>
  </w:num>
  <w:num w:numId="12" w16cid:durableId="43141280">
    <w:abstractNumId w:val="3"/>
  </w:num>
  <w:num w:numId="13" w16cid:durableId="502627835">
    <w:abstractNumId w:val="2"/>
  </w:num>
  <w:num w:numId="14" w16cid:durableId="19859814">
    <w:abstractNumId w:val="1"/>
  </w:num>
  <w:num w:numId="15" w16cid:durableId="615408892">
    <w:abstractNumId w:val="0"/>
  </w:num>
  <w:num w:numId="16" w16cid:durableId="201622586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6868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6646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4794C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103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jdih.kemenperin.go.id/dokumen/view?id=1554" TargetMode="External" /><Relationship Id="rId7" Type="http://schemas.openxmlformats.org/officeDocument/2006/relationships/hyperlink" Target="https://members.wto.org/crnattachments/2025/TBT/IDN/final_measure/25_01646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2025-02-25T14:42:00Z</dcterms:created>
  <dcterms:modified xsi:type="dcterms:W3CDTF">2025-02-25T14:42:00Z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