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02DB7BD4" w14:textId="77777777">
      <w:pPr>
        <w:pStyle w:val="Title"/>
      </w:pPr>
      <w:r w:rsidRPr="002F663C">
        <w:t>NOTIFICATION</w:t>
      </w:r>
    </w:p>
    <w:p w:rsidR="002F663C" w:rsidRPr="002F663C" w:rsidP="00DD3DD7" w14:paraId="392A2DF0" w14:textId="77777777">
      <w:pPr>
        <w:pStyle w:val="Title3"/>
      </w:pPr>
      <w:r w:rsidRPr="002F663C">
        <w:t>Addendum</w:t>
      </w:r>
    </w:p>
    <w:p w:rsidR="002F663C" w:rsidP="001E2E4A" w14:paraId="22311354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19 February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</w:rPr>
        <w:t xml:space="preserve">the </w:t>
      </w:r>
      <w:r w:rsidRPr="002F663C">
        <w:rPr>
          <w:rFonts w:eastAsia="Calibri" w:cs="Times New Roman"/>
          <w:u w:val="single"/>
        </w:rPr>
        <w:t>United States of America</w:t>
      </w:r>
      <w:r w:rsidRPr="002F663C">
        <w:rPr>
          <w:rFonts w:eastAsia="Calibri" w:cs="Times New Roman"/>
        </w:rPr>
        <w:t>.</w:t>
      </w:r>
    </w:p>
    <w:p w:rsidR="001E2E4A" w:rsidRPr="002F663C" w:rsidP="001E2E4A" w14:paraId="4FBF3E67" w14:textId="77777777">
      <w:pPr>
        <w:rPr>
          <w:rFonts w:eastAsia="Calibri" w:cs="Times New Roman"/>
        </w:rPr>
      </w:pPr>
    </w:p>
    <w:p w:rsidR="002F663C" w:rsidRPr="002F663C" w:rsidP="002F663C" w14:paraId="76C9DACB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38DB94BC" w14:textId="77777777">
      <w:pPr>
        <w:rPr>
          <w:rFonts w:eastAsia="Calibri" w:cs="Times New Roman"/>
        </w:rPr>
      </w:pPr>
    </w:p>
    <w:p w:rsidR="00C14444" w:rsidRPr="002F663C" w:rsidP="002F663C" w14:paraId="5AE5B4DB" w14:textId="77777777">
      <w:pPr>
        <w:rPr>
          <w:rFonts w:eastAsia="Calibri" w:cs="Times New Roman"/>
        </w:rPr>
      </w:pPr>
    </w:p>
    <w:p w:rsidR="002F663C" w:rsidRPr="002F663C" w:rsidP="002F663C" w14:paraId="3958171E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Federal Motor Vehicle Safety Standards; FMVSS No. 305a </w:t>
      </w:r>
      <w:r w:rsidRPr="00022513">
        <w:rPr>
          <w:rFonts w:eastAsia="Calibri" w:cs="Times New Roman"/>
          <w:bCs/>
          <w:szCs w:val="18"/>
        </w:rPr>
        <w:t>Electric-Powered Vehicles: Electric Powertrain Integrity Global Technical Regulation No. 20, Incorporation by Reference</w:t>
      </w:r>
    </w:p>
    <w:p w:rsidR="002F663C" w:rsidRPr="002F663C" w:rsidP="002F663C" w14:paraId="037BA069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0DB37D7B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38C58CB3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1F46B91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9E191F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1DAA09C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5093AE9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7387DD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4D40F8C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2A2D313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C9DFD0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64018A8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1323937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2C5FDB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20A2730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20 March 2025</w:t>
            </w:r>
          </w:p>
        </w:tc>
      </w:tr>
      <w:tr w14:paraId="2922C2D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6DCC70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6ECBEAA6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1FF5C85C" w14:textId="77777777">
            <w:pPr>
              <w:spacing w:before="120" w:after="120"/>
              <w:rPr>
                <w:rFonts w:eastAsia="Calibri" w:cs="Times New Roman"/>
              </w:rPr>
            </w:pPr>
            <w:hyperlink r:id="rId6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https://www.govinfo.gov/content/pkg/FR-2024-12-20/html/2024-28707.htm</w:t>
              </w:r>
            </w:hyperlink>
          </w:p>
          <w:p w:rsidR="002F663C" w:rsidRPr="002F663C" w:rsidP="00EB7B40" w14:paraId="3314342F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https://www.govinfo.gov/content/pkg/FR-2024-12-20/pdf/2024-28707.pdf</w:t>
              </w:r>
            </w:hyperlink>
          </w:p>
        </w:tc>
      </w:tr>
      <w:tr w14:paraId="1DEC56D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599B52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64C78D7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568A97BF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065D9F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ECCA23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5B77FA9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 xml:space="preserve">ontent or </w:t>
            </w:r>
            <w:r w:rsidRPr="002F663C">
              <w:rPr>
                <w:rFonts w:eastAsia="Calibri" w:cs="Times New Roman"/>
              </w:rPr>
              <w:t>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24D527D5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675A07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E67AC6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6A4EA75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58877DB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499A17D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3790D9A3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  <w:p w:rsidR="00467A46" w:rsidP="00EB7B40" w14:paraId="4AFA0FD7" w14:textId="77777777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Final rule; delay of effective date</w:t>
            </w:r>
          </w:p>
          <w:p w:rsidR="00467A46" w:rsidP="00EB7B40" w14:paraId="763E8BD6" w14:textId="77777777">
            <w:pPr>
              <w:spacing w:before="120" w:after="120"/>
              <w:rPr>
                <w:rFonts w:eastAsia="Calibri" w:cs="Times New Roman"/>
              </w:rPr>
            </w:pPr>
            <w:hyperlink r:id="rId8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https://members.wto.org/crnattachments/2025/TBT/USA/25_01527_00_e.pdf</w:t>
              </w:r>
            </w:hyperlink>
          </w:p>
        </w:tc>
      </w:tr>
      <w:bookmarkEnd w:id="0"/>
    </w:tbl>
    <w:p w:rsidR="002F663C" w:rsidRPr="002F663C" w:rsidP="002F663C" w14:paraId="60EDA6F9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182B76BA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This document delays until 20 March 2025, the effective date of the 20 December 2024,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final rule</w:t>
        </w:r>
      </w:hyperlink>
      <w:r w:rsidRPr="002F663C">
        <w:rPr>
          <w:rFonts w:eastAsia="Calibri" w:cs="Times New Roman"/>
          <w:szCs w:val="18"/>
        </w:rPr>
        <w:t xml:space="preserve"> (notified as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G/TBT/N/USA/2113/Add.1</w:t>
        </w:r>
      </w:hyperlink>
      <w:r w:rsidRPr="002F663C">
        <w:rPr>
          <w:rFonts w:eastAsia="Calibri" w:cs="Times New Roman"/>
          <w:szCs w:val="18"/>
        </w:rPr>
        <w:t>) that adopted Federal Motor Vehicle Safety Standard (FMVSS) No. 305a to replace FMVSS No. 305, "Electric-powered vehicles: Electrolyte spillage and electrical shock protection." FMVSS No. 305a applies to light and heavy vehicles and includes performance requirements for the propulsion battery. The final rule also established a part entitled, "Documentation for Electric- powered Vehicles," that requires manufacturers to compile risk mitigation documentation and submit standardized emergency response informa</w:t>
      </w:r>
      <w:r w:rsidRPr="002F663C">
        <w:rPr>
          <w:rFonts w:eastAsia="Calibri" w:cs="Times New Roman"/>
          <w:szCs w:val="18"/>
        </w:rPr>
        <w:t>tion to assist first and second responders handling electric vehicles.</w:t>
      </w:r>
    </w:p>
    <w:p w:rsidR="00042533" w:rsidRPr="002F663C" w:rsidP="00B16ACF" w14:paraId="56766FFF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The effective date of the rule published on 20 December 2024, at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89 FR 104318</w:t>
        </w:r>
      </w:hyperlink>
      <w:r w:rsidRPr="002F663C">
        <w:rPr>
          <w:rFonts w:eastAsia="Calibri" w:cs="Times New Roman"/>
          <w:szCs w:val="18"/>
        </w:rPr>
        <w:t>, is delayed until 20 March 2025. The incorporation by reference approval of certain publications listed in the rule by the Director of the Federal Register is delayed until 20 March 2025.</w:t>
      </w:r>
    </w:p>
    <w:p w:rsidR="00042533" w:rsidRPr="002F663C" w:rsidP="00B16ACF" w14:paraId="18B36CD8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90 Federal Register (FR) 9609, 18 February 2025; </w:t>
      </w:r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Title 49</w:t>
        </w:r>
      </w:hyperlink>
      <w:r w:rsidRPr="002F663C">
        <w:rPr>
          <w:rFonts w:eastAsia="Calibri" w:cs="Times New Roman"/>
          <w:szCs w:val="18"/>
        </w:rPr>
        <w:t xml:space="preserve"> Code of Federal Regulations (CFR) Parts 561 and </w:t>
      </w: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571</w:t>
        </w:r>
      </w:hyperlink>
      <w:r w:rsidRPr="002F663C">
        <w:rPr>
          <w:rFonts w:eastAsia="Calibri" w:cs="Times New Roman"/>
          <w:szCs w:val="18"/>
        </w:rPr>
        <w:t>:</w:t>
      </w:r>
    </w:p>
    <w:p w:rsidR="00042533" w:rsidRPr="002F663C" w:rsidP="00B16ACF" w14:paraId="366360D4" w14:textId="77777777">
      <w:pPr>
        <w:spacing w:before="120" w:after="120"/>
        <w:rPr>
          <w:rFonts w:eastAsia="Calibri" w:cs="Times New Roman"/>
          <w:szCs w:val="18"/>
        </w:rPr>
      </w:pPr>
      <w:hyperlink r:id="rId12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https://www.govinfo.gov/content/pkg/FR-2025-02-14/html/2025-02582.htm</w:t>
        </w:r>
      </w:hyperlink>
    </w:p>
    <w:p w:rsidR="00042533" w:rsidRPr="002F663C" w:rsidP="00B16ACF" w14:paraId="1D866E00" w14:textId="77777777">
      <w:pPr>
        <w:spacing w:before="120" w:after="120"/>
        <w:rPr>
          <w:rFonts w:eastAsia="Calibri" w:cs="Times New Roman"/>
          <w:szCs w:val="18"/>
        </w:rPr>
      </w:pPr>
      <w:hyperlink r:id="rId13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https://www.govinfo.gov/content/pkg/FR-2025-02-14/pdf/2025-02582.pdf</w:t>
        </w:r>
      </w:hyperlink>
    </w:p>
    <w:p w:rsidR="00042533" w:rsidRPr="002F663C" w:rsidP="00B16ACF" w14:paraId="4936A654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This action and the final rule notified as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G/TBT/N/USA/2113/Add.1</w:t>
        </w:r>
      </w:hyperlink>
      <w:r w:rsidRPr="002F663C">
        <w:rPr>
          <w:rFonts w:eastAsia="Calibri" w:cs="Times New Roman"/>
          <w:szCs w:val="18"/>
        </w:rPr>
        <w:t xml:space="preserve"> are identified by Docket Number NHTSA-2024-0091. The Docket Folder is available from Regulations.gov at </w:t>
      </w:r>
      <w:hyperlink r:id="rId14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https://www.regulations.gov/docket/NHTSA-2024-0091/document</w:t>
        </w:r>
      </w:hyperlink>
      <w:r w:rsidRPr="002F663C">
        <w:rPr>
          <w:rFonts w:eastAsia="Calibri" w:cs="Times New Roman"/>
          <w:szCs w:val="18"/>
        </w:rPr>
        <w:t xml:space="preserve"> and provides access to primary documents. Documents are also accessible from </w:t>
      </w:r>
      <w:hyperlink r:id="rId15" w:history="1">
        <w:r w:rsidRPr="002F663C">
          <w:rPr>
            <w:rFonts w:eastAsia="Calibri" w:cs="Times New Roman"/>
            <w:color w:val="0000FF"/>
            <w:szCs w:val="18"/>
            <w:u w:val="single"/>
          </w:rPr>
          <w:t>Regulations.gov</w:t>
        </w:r>
      </w:hyperlink>
      <w:r w:rsidRPr="002F663C">
        <w:rPr>
          <w:rFonts w:eastAsia="Calibri" w:cs="Times New Roman"/>
          <w:szCs w:val="18"/>
        </w:rPr>
        <w:t xml:space="preserve"> by searching the Docket Number.</w:t>
      </w:r>
    </w:p>
    <w:p w:rsidR="006C5A96" w:rsidP="006C5A96" w14:paraId="5097C46C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69575041" w14:textId="77777777">
      <w:pPr>
        <w:jc w:val="center"/>
        <w:rPr>
          <w:b/>
        </w:rPr>
      </w:pPr>
    </w:p>
    <w:p w:rsidR="00A1565D" w:rsidP="003971FF" w14:paraId="55AEB277" w14:textId="77777777">
      <w:pPr>
        <w:jc w:val="center"/>
        <w:rPr>
          <w:b/>
        </w:rPr>
      </w:pPr>
    </w:p>
    <w:sectPr w:rsidSect="006C5A96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6364749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9617DF6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139178E2" w14:textId="77777777">
      <w:r>
        <w:separator/>
      </w:r>
    </w:p>
  </w:footnote>
  <w:footnote w:type="continuationSeparator" w:id="1">
    <w:p w:rsidR="004D3A6A" w:rsidP="00ED54E0" w14:paraId="30265BA5" w14:textId="77777777">
      <w:r>
        <w:continuationSeparator/>
      </w:r>
    </w:p>
  </w:footnote>
  <w:footnote w:id="2">
    <w:p w:rsidR="007F6EA2" w14:paraId="5260CF84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2595316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6794B4B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EE51C0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4671330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1038AE2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G/TBT/N/USA/2113/Add.2</w:t>
    </w:r>
    <w:bookmarkEnd w:id="3"/>
  </w:p>
  <w:p w:rsidR="00DD3DD7" w:rsidRPr="00DD3DD7" w:rsidP="00DD3DD7" w14:paraId="697DBFF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83B6B7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3A964ED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E95B06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6E605A5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17347C9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04F07A2F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1F9C4239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8A53509" w14:textId="77777777">
          <w:pPr>
            <w:jc w:val="right"/>
            <w:rPr>
              <w:b/>
              <w:szCs w:val="16"/>
            </w:rPr>
          </w:pPr>
        </w:p>
      </w:tc>
    </w:tr>
    <w:tr w14:paraId="31BE8272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88BFD5F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4D83E400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G/TBT/N/USA/2113/Add.2</w:t>
          </w:r>
          <w:bookmarkEnd w:id="4"/>
        </w:p>
        <w:p w:rsidR="00C14444" w:rsidRPr="00C14444" w:rsidP="00C14444" w14:paraId="57CEC092" w14:textId="77777777">
          <w:pPr>
            <w:jc w:val="center"/>
            <w:rPr>
              <w:szCs w:val="16"/>
            </w:rPr>
          </w:pPr>
        </w:p>
      </w:tc>
    </w:tr>
    <w:tr w14:paraId="3F740EA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49F2E58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9C1EB7E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19 February 2025</w:t>
          </w:r>
          <w:bookmarkEnd w:id="5"/>
        </w:p>
      </w:tc>
    </w:tr>
    <w:tr w14:paraId="03F1483A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261DF66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(25-1201)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FC42CA3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366218DE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A6C98D5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3301353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6C60BB9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06178262">
    <w:abstractNumId w:val="9"/>
  </w:num>
  <w:num w:numId="2" w16cid:durableId="1619993622">
    <w:abstractNumId w:val="7"/>
  </w:num>
  <w:num w:numId="3" w16cid:durableId="2082680166">
    <w:abstractNumId w:val="6"/>
  </w:num>
  <w:num w:numId="4" w16cid:durableId="105194789">
    <w:abstractNumId w:val="5"/>
  </w:num>
  <w:num w:numId="5" w16cid:durableId="210071695">
    <w:abstractNumId w:val="4"/>
  </w:num>
  <w:num w:numId="6" w16cid:durableId="283118944">
    <w:abstractNumId w:val="12"/>
  </w:num>
  <w:num w:numId="7" w16cid:durableId="428963939">
    <w:abstractNumId w:val="11"/>
  </w:num>
  <w:num w:numId="8" w16cid:durableId="1446923018">
    <w:abstractNumId w:val="10"/>
  </w:num>
  <w:num w:numId="9" w16cid:durableId="42188168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03344830">
    <w:abstractNumId w:val="13"/>
  </w:num>
  <w:num w:numId="11" w16cid:durableId="1002971551">
    <w:abstractNumId w:val="8"/>
  </w:num>
  <w:num w:numId="12" w16cid:durableId="533155418">
    <w:abstractNumId w:val="3"/>
  </w:num>
  <w:num w:numId="13" w16cid:durableId="776601831">
    <w:abstractNumId w:val="2"/>
  </w:num>
  <w:num w:numId="14" w16cid:durableId="379281383">
    <w:abstractNumId w:val="1"/>
  </w:num>
  <w:num w:numId="15" w16cid:durableId="513150788">
    <w:abstractNumId w:val="0"/>
  </w:num>
  <w:num w:numId="16" w16cid:durableId="30042657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2533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35D79"/>
    <w:rsid w:val="00840C2B"/>
    <w:rsid w:val="00870682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12E9F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https://www.ecfr.gov/current/title-49" TargetMode="External" /><Relationship Id="rId11" Type="http://schemas.openxmlformats.org/officeDocument/2006/relationships/hyperlink" Target="https://www.ecfr.gov/current/title-49/subtitle-B/chapter-V/part-571" TargetMode="External" /><Relationship Id="rId12" Type="http://schemas.openxmlformats.org/officeDocument/2006/relationships/hyperlink" Target="https://www.govinfo.gov/content/pkg/FR-2025-02-14/html/2025-02582.htm" TargetMode="External" /><Relationship Id="rId13" Type="http://schemas.openxmlformats.org/officeDocument/2006/relationships/hyperlink" Target="https://www.govinfo.gov/content/pkg/FR-2025-02-14/pdf/2025-02582.pdf" TargetMode="External" /><Relationship Id="rId14" Type="http://schemas.openxmlformats.org/officeDocument/2006/relationships/hyperlink" Target="https://www.regulations.gov/docket/NHTSA-2024-0091/document" TargetMode="External" /><Relationship Id="rId15" Type="http://schemas.openxmlformats.org/officeDocument/2006/relationships/hyperlink" Target="http://www.regulations.gov/" TargetMode="External" /><Relationship Id="rId16" Type="http://schemas.openxmlformats.org/officeDocument/2006/relationships/header" Target="header1.xml" /><Relationship Id="rId17" Type="http://schemas.openxmlformats.org/officeDocument/2006/relationships/header" Target="header2.xml" /><Relationship Id="rId18" Type="http://schemas.openxmlformats.org/officeDocument/2006/relationships/footer" Target="footer1.xml" /><Relationship Id="rId19" Type="http://schemas.openxmlformats.org/officeDocument/2006/relationships/footer" Target="footer2.xml" /><Relationship Id="rId2" Type="http://schemas.openxmlformats.org/officeDocument/2006/relationships/settings" Target="settings.xml" /><Relationship Id="rId20" Type="http://schemas.openxmlformats.org/officeDocument/2006/relationships/header" Target="header3.xml" /><Relationship Id="rId21" Type="http://schemas.openxmlformats.org/officeDocument/2006/relationships/theme" Target="theme/theme1.xml" /><Relationship Id="rId22" Type="http://schemas.openxmlformats.org/officeDocument/2006/relationships/numbering" Target="numbering.xml" /><Relationship Id="rId23" Type="http://schemas.openxmlformats.org/officeDocument/2006/relationships/styles" Target="style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www.govinfo.gov/content/pkg/FR-2024-12-20/html/2024-28707.htm" TargetMode="External" /><Relationship Id="rId7" Type="http://schemas.openxmlformats.org/officeDocument/2006/relationships/hyperlink" Target="https://www.govinfo.gov/content/pkg/FR-2024-12-20/pdf/2024-28707.pdf" TargetMode="External" /><Relationship Id="rId8" Type="http://schemas.openxmlformats.org/officeDocument/2006/relationships/hyperlink" Target="https://members.wto.org/crnattachments/2025/TBT/USA/25_01527_00_e.pdf" TargetMode="External" /><Relationship Id="rId9" Type="http://schemas.openxmlformats.org/officeDocument/2006/relationships/hyperlink" Target="https://eping.wto.org/en/Search?viewData=G/TBT/N/USA/2113/Add.1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572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2025-02-19T15:14:00Z</dcterms:created>
  <dcterms:modified xsi:type="dcterms:W3CDTF">2025-02-19T15:14:00Z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