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B4E9B88" w14:textId="77777777">
      <w:pPr>
        <w:pStyle w:val="Title"/>
      </w:pPr>
      <w:r w:rsidRPr="002F663C">
        <w:t>NOTIFICATION</w:t>
      </w:r>
    </w:p>
    <w:p w:rsidR="002F663C" w:rsidRPr="002F663C" w:rsidP="00DD3DD7" w14:paraId="21B194BD" w14:textId="77777777">
      <w:pPr>
        <w:pStyle w:val="Title3"/>
      </w:pPr>
      <w:r w:rsidRPr="002F663C">
        <w:t>Addendum</w:t>
      </w:r>
    </w:p>
    <w:p w:rsidR="002F663C" w:rsidP="001E2E4A" w14:paraId="34A3D27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February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0BCD8409" w14:textId="77777777">
      <w:pPr>
        <w:rPr>
          <w:rFonts w:eastAsia="Calibri" w:cs="Times New Roman"/>
        </w:rPr>
      </w:pPr>
    </w:p>
    <w:p w:rsidR="002F663C" w:rsidRPr="002F663C" w:rsidP="002F663C" w14:paraId="664F0337" w14:textId="77777777">
      <w:pPr>
        <w:jc w:val="center"/>
        <w:rPr>
          <w:rFonts w:eastAsia="Calibri" w:cs="Times New Roman"/>
          <w:b/>
        </w:rPr>
      </w:pPr>
      <w:r w:rsidRPr="002F663C">
        <w:rPr>
          <w:rFonts w:eastAsia="Calibri" w:cs="Times New Roman"/>
          <w:b/>
        </w:rPr>
        <w:t>_______________</w:t>
      </w:r>
    </w:p>
    <w:p w:rsidR="002F663C" w:rsidP="002F663C" w14:paraId="003B4CCC" w14:textId="77777777">
      <w:pPr>
        <w:rPr>
          <w:rFonts w:eastAsia="Calibri" w:cs="Times New Roman"/>
        </w:rPr>
      </w:pPr>
    </w:p>
    <w:p w:rsidR="00C14444" w:rsidRPr="002F663C" w:rsidP="002F663C" w14:paraId="7DFDCC3A" w14:textId="77777777">
      <w:pPr>
        <w:rPr>
          <w:rFonts w:eastAsia="Calibri" w:cs="Times New Roman"/>
        </w:rPr>
      </w:pPr>
    </w:p>
    <w:p w:rsidR="002F663C" w:rsidRPr="002F663C" w:rsidP="002F663C" w14:paraId="0C90CE0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decree of Ministry of Industry on Mandatory of Indonesia National </w:t>
      </w:r>
      <w:r w:rsidRPr="00022513">
        <w:rPr>
          <w:rFonts w:eastAsia="Calibri" w:cs="Times New Roman"/>
          <w:bCs/>
          <w:szCs w:val="18"/>
        </w:rPr>
        <w:t>Standard for SNI 07-2052-2002 Steel bar for concrete reinforcement, SNI 07-0065-2002 Re-rolled concrete enforcement steel bars, SNI 07-0954-2005 Concrete reinforcement steel bar in reel (available in Indonesian language).</w:t>
      </w:r>
    </w:p>
    <w:p w:rsidR="002F663C" w:rsidRPr="002F663C" w:rsidP="002F663C" w14:paraId="2A3C954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222E4E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713750C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C4F3054" w14:textId="77777777" w:rsidTr="00E9471B">
        <w:tblPrEx>
          <w:tblW w:w="9049" w:type="dxa"/>
          <w:tblLayout w:type="fixed"/>
          <w:tblLook w:val="04A0"/>
        </w:tblPrEx>
        <w:tc>
          <w:tcPr>
            <w:tcW w:w="851" w:type="dxa"/>
            <w:shd w:val="clear" w:color="auto" w:fill="auto"/>
          </w:tcPr>
          <w:p w:rsidR="002F663C" w:rsidRPr="00711F9C" w:rsidP="00C14444" w14:paraId="3FB3EFB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501420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76949A6" w14:textId="77777777" w:rsidTr="00E9471B">
        <w:tblPrEx>
          <w:tblW w:w="9049" w:type="dxa"/>
          <w:tblLayout w:type="fixed"/>
          <w:tblLook w:val="04A0"/>
        </w:tblPrEx>
        <w:tc>
          <w:tcPr>
            <w:tcW w:w="851" w:type="dxa"/>
            <w:shd w:val="clear" w:color="auto" w:fill="auto"/>
          </w:tcPr>
          <w:p w:rsidR="002F663C" w:rsidRPr="00711F9C" w:rsidP="00C14444" w14:paraId="14FDF76F"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6E0A2CE5"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15 October 2024</w:t>
            </w:r>
          </w:p>
        </w:tc>
      </w:tr>
      <w:tr w14:paraId="5F506653" w14:textId="77777777" w:rsidTr="00E9471B">
        <w:tblPrEx>
          <w:tblW w:w="9049" w:type="dxa"/>
          <w:tblLayout w:type="fixed"/>
          <w:tblLook w:val="04A0"/>
        </w:tblPrEx>
        <w:tc>
          <w:tcPr>
            <w:tcW w:w="851" w:type="dxa"/>
            <w:shd w:val="clear" w:color="auto" w:fill="auto"/>
          </w:tcPr>
          <w:p w:rsidR="002F663C" w:rsidRPr="00711F9C" w:rsidP="00C14444" w14:paraId="3D3B33E8"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343138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18 October 2024</w:t>
            </w:r>
          </w:p>
        </w:tc>
      </w:tr>
      <w:tr w14:paraId="73CF624A" w14:textId="77777777" w:rsidTr="00E9471B">
        <w:tblPrEx>
          <w:tblW w:w="9049" w:type="dxa"/>
          <w:tblLayout w:type="fixed"/>
          <w:tblLook w:val="04A0"/>
        </w:tblPrEx>
        <w:tc>
          <w:tcPr>
            <w:tcW w:w="851" w:type="dxa"/>
            <w:shd w:val="clear" w:color="auto" w:fill="auto"/>
          </w:tcPr>
          <w:p w:rsidR="002F663C" w:rsidRPr="00711F9C" w:rsidP="00C14444" w14:paraId="2A7260E9"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0FC8D8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18 January 2025</w:t>
            </w:r>
          </w:p>
        </w:tc>
      </w:tr>
      <w:tr w14:paraId="1D3D226A" w14:textId="77777777" w:rsidTr="00E9471B">
        <w:tblPrEx>
          <w:tblW w:w="9049" w:type="dxa"/>
          <w:tblLayout w:type="fixed"/>
          <w:tblLook w:val="04A0"/>
        </w:tblPrEx>
        <w:tc>
          <w:tcPr>
            <w:tcW w:w="851" w:type="dxa"/>
            <w:shd w:val="clear" w:color="auto" w:fill="auto"/>
          </w:tcPr>
          <w:p w:rsidR="002F663C" w:rsidRPr="00711F9C" w:rsidP="00C14444" w14:paraId="75FAABB0"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2C997F97"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7C0990D" w14:textId="77777777">
            <w:pPr>
              <w:spacing w:before="120" w:after="120"/>
              <w:rPr>
                <w:rFonts w:eastAsia="Calibri" w:cs="Times New Roman"/>
              </w:rPr>
            </w:pPr>
            <w:hyperlink r:id="rId6" w:tgtFrame="_blank" w:history="1">
              <w:r w:rsidRPr="002F663C">
                <w:rPr>
                  <w:rFonts w:eastAsia="Calibri" w:cs="Times New Roman"/>
                  <w:color w:val="0000FF"/>
                  <w:u w:val="single"/>
                </w:rPr>
                <w:t>https://jdih.kemenperin.go.id/dokumen/view?id=1540</w:t>
              </w:r>
            </w:hyperlink>
          </w:p>
          <w:p w:rsidR="002F663C" w:rsidRPr="002F663C" w:rsidP="00EB7B40" w14:paraId="52BC4F5A"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https://members.wto.org/crnattachments/2025/TBT/IDN/final_measure/25_01478_00_x.pdf</w:t>
              </w:r>
            </w:hyperlink>
          </w:p>
        </w:tc>
      </w:tr>
      <w:tr w14:paraId="7436850D" w14:textId="77777777" w:rsidTr="00E9471B">
        <w:tblPrEx>
          <w:tblW w:w="9049" w:type="dxa"/>
          <w:tblLayout w:type="fixed"/>
          <w:tblLook w:val="04A0"/>
        </w:tblPrEx>
        <w:tc>
          <w:tcPr>
            <w:tcW w:w="851" w:type="dxa"/>
            <w:shd w:val="clear" w:color="auto" w:fill="auto"/>
          </w:tcPr>
          <w:p w:rsidR="002F663C" w:rsidRPr="00711F9C" w:rsidP="00C14444" w14:paraId="4D5DF38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853822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6B4769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E21343F" w14:textId="77777777" w:rsidTr="00E9471B">
        <w:tblPrEx>
          <w:tblW w:w="9049" w:type="dxa"/>
          <w:tblLayout w:type="fixed"/>
          <w:tblLook w:val="04A0"/>
        </w:tblPrEx>
        <w:tc>
          <w:tcPr>
            <w:tcW w:w="851" w:type="dxa"/>
            <w:shd w:val="clear" w:color="auto" w:fill="auto"/>
          </w:tcPr>
          <w:p w:rsidR="002F663C" w:rsidRPr="00711F9C" w:rsidP="00C14444" w14:paraId="6A9B29C6"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5D9E7A0D" w14:textId="77777777">
            <w:pPr>
              <w:spacing w:before="60" w:after="60"/>
              <w:rPr>
                <w:rFonts w:eastAsia="Calibri" w:cs="Times New Roman"/>
              </w:rPr>
            </w:pPr>
            <w:r>
              <w:rPr>
                <w:rFonts w:eastAsia="Calibri" w:cs="Times New Roman"/>
              </w:rPr>
              <w:t>C</w:t>
            </w:r>
            <w:r w:rsidRPr="002F663C">
              <w:rPr>
                <w:rFonts w:eastAsia="Calibri" w:cs="Times New Roman"/>
              </w:rPr>
              <w:t xml:space="preserve">ontent or scope of </w:t>
            </w:r>
            <w:r w:rsidRPr="002F663C">
              <w:rPr>
                <w:rFonts w:eastAsia="Calibri" w:cs="Times New Roman"/>
              </w:rPr>
              <w:t>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3BD3ED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7D0CA4D" w14:textId="77777777" w:rsidTr="00E9471B">
        <w:tblPrEx>
          <w:tblW w:w="9049" w:type="dxa"/>
          <w:tblLayout w:type="fixed"/>
          <w:tblLook w:val="04A0"/>
        </w:tblPrEx>
        <w:tc>
          <w:tcPr>
            <w:tcW w:w="851" w:type="dxa"/>
            <w:shd w:val="clear" w:color="auto" w:fill="auto"/>
          </w:tcPr>
          <w:p w:rsidR="002F663C" w:rsidRPr="00711F9C" w:rsidP="00C14444" w14:paraId="4ADE22D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46EA5BC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C464113"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0FEDA4F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2ADF86E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E3B5FDB" w14:textId="77777777">
      <w:pPr>
        <w:jc w:val="left"/>
        <w:rPr>
          <w:rFonts w:eastAsia="Calibri" w:cs="Times New Roman"/>
          <w:highlight w:val="yellow"/>
        </w:rPr>
      </w:pPr>
    </w:p>
    <w:p w:rsidR="003971FF" w:rsidRPr="007F6EA2" w:rsidP="00B16ACF" w14:paraId="16D901E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Minister of Industry No. 14 Year 2018 has been revoked and replaced by Regulation of Minister of Industry No. 55 Year 2024 regarding Mandatory Implementation of Indonesian National Standard for for Concrete Steel Bar. </w:t>
      </w:r>
    </w:p>
    <w:p w:rsidR="00C576F7" w:rsidRPr="002F663C" w:rsidP="00B16ACF" w14:paraId="1E2A5D8C" w14:textId="77777777">
      <w:pPr>
        <w:spacing w:before="120" w:after="120"/>
        <w:rPr>
          <w:rFonts w:eastAsia="Calibri" w:cs="Times New Roman"/>
          <w:szCs w:val="18"/>
        </w:rPr>
      </w:pPr>
      <w:r w:rsidRPr="002F663C">
        <w:rPr>
          <w:rFonts w:eastAsia="Calibri" w:cs="Times New Roman"/>
          <w:szCs w:val="18"/>
        </w:rPr>
        <w:t>The Regulation covers the issuance of SNI certificate using type 5 certification scheme, production process assessment and implementation of ISO 9001:2015, including product quality testing based on:</w:t>
      </w:r>
    </w:p>
    <w:p w:rsidR="00C576F7" w:rsidRPr="002F663C" w:rsidP="00B16ACF" w14:paraId="5A5395E8" w14:textId="77777777">
      <w:pPr>
        <w:numPr>
          <w:ilvl w:val="0"/>
          <w:numId w:val="17"/>
        </w:numPr>
        <w:spacing w:before="120" w:after="120"/>
        <w:rPr>
          <w:rFonts w:eastAsia="Calibri" w:cs="Times New Roman"/>
          <w:szCs w:val="18"/>
        </w:rPr>
      </w:pPr>
      <w:r w:rsidRPr="002F663C">
        <w:rPr>
          <w:rFonts w:eastAsia="Calibri" w:cs="Times New Roman"/>
          <w:szCs w:val="18"/>
        </w:rPr>
        <w:t>SNI 2052:2024 Concrete Steel Bar and SNI 65:2024 Hot-Rolled Concrete Reinforcing Steel, for product with HS code :</w:t>
      </w:r>
    </w:p>
    <w:p w:rsidR="00C576F7" w:rsidRPr="002F663C" w:rsidP="00B16ACF" w14:paraId="53AABB26" w14:textId="77777777">
      <w:pPr>
        <w:numPr>
          <w:ilvl w:val="0"/>
          <w:numId w:val="18"/>
        </w:numPr>
        <w:spacing w:before="120" w:after="120"/>
        <w:rPr>
          <w:rFonts w:eastAsia="Calibri" w:cs="Times New Roman"/>
          <w:szCs w:val="18"/>
        </w:rPr>
      </w:pPr>
      <w:r w:rsidRPr="002F663C">
        <w:rPr>
          <w:rFonts w:eastAsia="Calibri" w:cs="Times New Roman"/>
          <w:szCs w:val="18"/>
        </w:rPr>
        <w:t>7214.20.31</w:t>
      </w:r>
    </w:p>
    <w:p w:rsidR="00C576F7" w:rsidRPr="002F663C" w:rsidP="00B16ACF" w14:paraId="57DA80C9" w14:textId="77777777">
      <w:pPr>
        <w:numPr>
          <w:ilvl w:val="0"/>
          <w:numId w:val="18"/>
        </w:numPr>
        <w:spacing w:before="120" w:after="120"/>
        <w:rPr>
          <w:rFonts w:eastAsia="Calibri" w:cs="Times New Roman"/>
          <w:szCs w:val="18"/>
        </w:rPr>
      </w:pPr>
      <w:r w:rsidRPr="002F663C">
        <w:rPr>
          <w:rFonts w:eastAsia="Calibri" w:cs="Times New Roman"/>
          <w:szCs w:val="18"/>
        </w:rPr>
        <w:t>ex. 7214.20.39</w:t>
      </w:r>
    </w:p>
    <w:p w:rsidR="00C576F7" w:rsidRPr="002F663C" w:rsidP="00B16ACF" w14:paraId="748B9301" w14:textId="77777777">
      <w:pPr>
        <w:numPr>
          <w:ilvl w:val="0"/>
          <w:numId w:val="18"/>
        </w:numPr>
        <w:spacing w:before="120" w:after="120"/>
        <w:rPr>
          <w:rFonts w:eastAsia="Calibri" w:cs="Times New Roman"/>
          <w:szCs w:val="18"/>
        </w:rPr>
      </w:pPr>
      <w:r w:rsidRPr="002F663C">
        <w:rPr>
          <w:rFonts w:eastAsia="Calibri" w:cs="Times New Roman"/>
          <w:szCs w:val="18"/>
        </w:rPr>
        <w:t>ex. 7214.99.91</w:t>
      </w:r>
    </w:p>
    <w:p w:rsidR="00C576F7" w:rsidRPr="002F663C" w:rsidP="00B16ACF" w14:paraId="29939476" w14:textId="77777777">
      <w:pPr>
        <w:numPr>
          <w:ilvl w:val="0"/>
          <w:numId w:val="18"/>
        </w:numPr>
        <w:spacing w:before="120" w:after="120"/>
        <w:rPr>
          <w:rFonts w:eastAsia="Calibri" w:cs="Times New Roman"/>
          <w:szCs w:val="18"/>
        </w:rPr>
      </w:pPr>
      <w:r w:rsidRPr="002F663C">
        <w:rPr>
          <w:rFonts w:eastAsia="Calibri" w:cs="Times New Roman"/>
          <w:szCs w:val="18"/>
        </w:rPr>
        <w:t>ex. 7214.99.92</w:t>
      </w:r>
    </w:p>
    <w:p w:rsidR="00C576F7" w:rsidRPr="002F663C" w:rsidP="00B16ACF" w14:paraId="1DB33987" w14:textId="77777777">
      <w:pPr>
        <w:numPr>
          <w:ilvl w:val="0"/>
          <w:numId w:val="18"/>
        </w:numPr>
        <w:spacing w:before="120" w:after="120"/>
        <w:rPr>
          <w:rFonts w:eastAsia="Calibri" w:cs="Times New Roman"/>
          <w:szCs w:val="18"/>
        </w:rPr>
      </w:pPr>
      <w:r w:rsidRPr="002F663C">
        <w:rPr>
          <w:rFonts w:eastAsia="Calibri" w:cs="Times New Roman"/>
          <w:szCs w:val="18"/>
        </w:rPr>
        <w:t>ex. 7214.99.93</w:t>
      </w:r>
    </w:p>
    <w:p w:rsidR="00C576F7" w:rsidRPr="002F663C" w:rsidP="00B16ACF" w14:paraId="7FB2AE88" w14:textId="77777777">
      <w:pPr>
        <w:numPr>
          <w:ilvl w:val="0"/>
          <w:numId w:val="18"/>
        </w:numPr>
        <w:spacing w:before="120" w:after="120"/>
        <w:rPr>
          <w:rFonts w:eastAsia="Calibri" w:cs="Times New Roman"/>
          <w:szCs w:val="18"/>
        </w:rPr>
      </w:pPr>
      <w:r w:rsidRPr="002F663C">
        <w:rPr>
          <w:rFonts w:eastAsia="Calibri" w:cs="Times New Roman"/>
          <w:szCs w:val="18"/>
        </w:rPr>
        <w:t>ex. 7214.99.99</w:t>
      </w:r>
    </w:p>
    <w:p w:rsidR="00C576F7" w:rsidRPr="002F663C" w:rsidP="00B16ACF" w14:paraId="04DE83FB" w14:textId="77777777">
      <w:pPr>
        <w:numPr>
          <w:ilvl w:val="0"/>
          <w:numId w:val="18"/>
        </w:numPr>
        <w:spacing w:before="120" w:after="120"/>
        <w:rPr>
          <w:rFonts w:eastAsia="Calibri" w:cs="Times New Roman"/>
          <w:szCs w:val="18"/>
        </w:rPr>
      </w:pPr>
      <w:r w:rsidRPr="002F663C">
        <w:rPr>
          <w:rFonts w:eastAsia="Calibri" w:cs="Times New Roman"/>
          <w:szCs w:val="18"/>
        </w:rPr>
        <w:t>7215.90.10</w:t>
      </w:r>
    </w:p>
    <w:p w:rsidR="00C576F7" w:rsidRPr="002F663C" w:rsidP="00B16ACF" w14:paraId="6779EF4D" w14:textId="77777777">
      <w:pPr>
        <w:numPr>
          <w:ilvl w:val="0"/>
          <w:numId w:val="18"/>
        </w:numPr>
        <w:spacing w:before="120" w:after="120"/>
        <w:rPr>
          <w:rFonts w:eastAsia="Calibri" w:cs="Times New Roman"/>
          <w:szCs w:val="18"/>
        </w:rPr>
      </w:pPr>
      <w:r w:rsidRPr="002F663C">
        <w:rPr>
          <w:rFonts w:eastAsia="Calibri" w:cs="Times New Roman"/>
          <w:szCs w:val="18"/>
        </w:rPr>
        <w:t>ex. 7215.90.91; and</w:t>
      </w:r>
    </w:p>
    <w:p w:rsidR="00C576F7" w:rsidRPr="002F663C" w:rsidP="00B16ACF" w14:paraId="4BDE42E0" w14:textId="77777777">
      <w:pPr>
        <w:numPr>
          <w:ilvl w:val="0"/>
          <w:numId w:val="18"/>
        </w:numPr>
        <w:spacing w:before="120" w:after="120"/>
        <w:rPr>
          <w:rFonts w:eastAsia="Calibri" w:cs="Times New Roman"/>
          <w:szCs w:val="18"/>
        </w:rPr>
      </w:pPr>
      <w:r w:rsidRPr="002F663C">
        <w:rPr>
          <w:rFonts w:eastAsia="Calibri" w:cs="Times New Roman"/>
          <w:szCs w:val="18"/>
        </w:rPr>
        <w:t>ex. 7228.30.10</w:t>
      </w:r>
    </w:p>
    <w:p w:rsidR="00C576F7" w:rsidRPr="002F663C" w:rsidP="00B16ACF" w14:paraId="28B8666A" w14:textId="77777777">
      <w:pPr>
        <w:spacing w:before="120" w:after="120"/>
        <w:rPr>
          <w:rFonts w:eastAsia="Calibri" w:cs="Times New Roman"/>
          <w:szCs w:val="18"/>
        </w:rPr>
      </w:pPr>
      <w:r w:rsidRPr="002F663C">
        <w:rPr>
          <w:rFonts w:eastAsia="Calibri" w:cs="Times New Roman"/>
          <w:szCs w:val="18"/>
        </w:rPr>
        <w:t>2. SNI 954:2024 untuk Concrete Reinforcing Steel in Coils, for product with HS Code :</w:t>
      </w:r>
    </w:p>
    <w:p w:rsidR="00C576F7" w:rsidRPr="002F663C" w:rsidP="00B16ACF" w14:paraId="453DBE95" w14:textId="77777777">
      <w:pPr>
        <w:numPr>
          <w:ilvl w:val="0"/>
          <w:numId w:val="19"/>
        </w:numPr>
        <w:spacing w:before="120" w:after="120"/>
        <w:rPr>
          <w:rFonts w:eastAsia="Calibri" w:cs="Times New Roman"/>
          <w:szCs w:val="18"/>
        </w:rPr>
      </w:pPr>
      <w:r w:rsidRPr="002F663C">
        <w:rPr>
          <w:rFonts w:eastAsia="Calibri" w:cs="Times New Roman"/>
          <w:szCs w:val="18"/>
        </w:rPr>
        <w:t>ex. 7213.10.10</w:t>
      </w:r>
    </w:p>
    <w:p w:rsidR="00C576F7" w:rsidRPr="002F663C" w:rsidP="00B16ACF" w14:paraId="6CC53E4E" w14:textId="77777777">
      <w:pPr>
        <w:numPr>
          <w:ilvl w:val="0"/>
          <w:numId w:val="19"/>
        </w:numPr>
        <w:spacing w:before="120" w:after="120"/>
        <w:rPr>
          <w:rFonts w:eastAsia="Calibri" w:cs="Times New Roman"/>
          <w:szCs w:val="18"/>
        </w:rPr>
      </w:pPr>
      <w:r w:rsidRPr="002F663C">
        <w:rPr>
          <w:rFonts w:eastAsia="Calibri" w:cs="Times New Roman"/>
          <w:szCs w:val="18"/>
        </w:rPr>
        <w:t>7213.91.20</w:t>
      </w:r>
    </w:p>
    <w:p w:rsidR="00C576F7" w:rsidRPr="002F663C" w:rsidP="00B16ACF" w14:paraId="65F430EB" w14:textId="77777777">
      <w:pPr>
        <w:numPr>
          <w:ilvl w:val="0"/>
          <w:numId w:val="19"/>
        </w:numPr>
        <w:spacing w:before="120" w:after="120"/>
        <w:rPr>
          <w:rFonts w:eastAsia="Calibri" w:cs="Times New Roman"/>
          <w:szCs w:val="18"/>
        </w:rPr>
      </w:pPr>
      <w:r w:rsidRPr="002F663C">
        <w:rPr>
          <w:rFonts w:eastAsia="Calibri" w:cs="Times New Roman"/>
          <w:szCs w:val="18"/>
        </w:rPr>
        <w:t>ex. 7213.91.90</w:t>
      </w:r>
    </w:p>
    <w:p w:rsidR="00C576F7" w:rsidRPr="002F663C" w:rsidP="00B16ACF" w14:paraId="64058781" w14:textId="77777777">
      <w:pPr>
        <w:numPr>
          <w:ilvl w:val="0"/>
          <w:numId w:val="19"/>
        </w:numPr>
        <w:spacing w:before="120" w:after="120"/>
        <w:rPr>
          <w:rFonts w:eastAsia="Calibri" w:cs="Times New Roman"/>
          <w:szCs w:val="18"/>
        </w:rPr>
      </w:pPr>
      <w:r w:rsidRPr="002F663C">
        <w:rPr>
          <w:rFonts w:eastAsia="Calibri" w:cs="Times New Roman"/>
          <w:szCs w:val="18"/>
        </w:rPr>
        <w:t>7213.99.20</w:t>
      </w:r>
    </w:p>
    <w:p w:rsidR="00C576F7" w:rsidRPr="002F663C" w:rsidP="00B16ACF" w14:paraId="432C3B6D" w14:textId="77777777">
      <w:pPr>
        <w:numPr>
          <w:ilvl w:val="0"/>
          <w:numId w:val="19"/>
        </w:numPr>
        <w:spacing w:before="120" w:after="120"/>
        <w:rPr>
          <w:rFonts w:eastAsia="Calibri" w:cs="Times New Roman"/>
          <w:szCs w:val="18"/>
        </w:rPr>
      </w:pPr>
      <w:r w:rsidRPr="002F663C">
        <w:rPr>
          <w:rFonts w:eastAsia="Calibri" w:cs="Times New Roman"/>
          <w:szCs w:val="18"/>
        </w:rPr>
        <w:t>ex. 7213.99.90; and</w:t>
      </w:r>
    </w:p>
    <w:p w:rsidR="00C576F7" w:rsidRPr="002F663C" w:rsidP="00B16ACF" w14:paraId="12F09D17" w14:textId="77777777">
      <w:pPr>
        <w:numPr>
          <w:ilvl w:val="0"/>
          <w:numId w:val="19"/>
        </w:numPr>
        <w:spacing w:before="120" w:after="120"/>
        <w:rPr>
          <w:rFonts w:eastAsia="Calibri" w:cs="Times New Roman"/>
          <w:szCs w:val="18"/>
        </w:rPr>
      </w:pPr>
      <w:r w:rsidRPr="002F663C">
        <w:rPr>
          <w:rFonts w:eastAsia="Calibri" w:cs="Times New Roman"/>
          <w:szCs w:val="18"/>
        </w:rPr>
        <w:t>ex. 7227.90.90.</w:t>
      </w:r>
    </w:p>
    <w:p w:rsidR="00C576F7" w:rsidRPr="002F663C" w:rsidP="00B16ACF" w14:paraId="33C742B0" w14:textId="77777777">
      <w:pPr>
        <w:spacing w:before="120" w:after="120"/>
        <w:rPr>
          <w:rFonts w:eastAsia="Calibri" w:cs="Times New Roman"/>
          <w:szCs w:val="18"/>
        </w:rPr>
      </w:pPr>
      <w:r w:rsidRPr="002F663C">
        <w:rPr>
          <w:rFonts w:eastAsia="Calibri" w:cs="Times New Roman"/>
          <w:szCs w:val="18"/>
        </w:rPr>
        <w:t>Domestic or imported Concrete Steel Bar products produced before this regulation may still be distributed for a maximum of 1 (one) year from the enforcement date.</w:t>
      </w:r>
    </w:p>
    <w:p w:rsidR="006C5A96" w:rsidP="006C5A96" w14:paraId="7E5630C7" w14:textId="77777777">
      <w:pPr>
        <w:jc w:val="center"/>
        <w:rPr>
          <w:b/>
        </w:rPr>
      </w:pPr>
      <w:r w:rsidRPr="003971FF">
        <w:rPr>
          <w:b/>
        </w:rPr>
        <w:t>__________</w:t>
      </w:r>
    </w:p>
    <w:p w:rsidR="004D4D19" w:rsidP="007F38C2" w14:paraId="4B9A3023" w14:textId="77777777">
      <w:pPr>
        <w:jc w:val="center"/>
        <w:rPr>
          <w:b/>
        </w:rPr>
      </w:pPr>
    </w:p>
    <w:p w:rsidR="00A1565D" w:rsidP="003971FF" w14:paraId="753593A4"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B1A6C4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1000CB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B54D255" w14:textId="77777777">
      <w:r>
        <w:separator/>
      </w:r>
    </w:p>
  </w:footnote>
  <w:footnote w:type="continuationSeparator" w:id="1">
    <w:p w:rsidR="004D3A6A" w:rsidP="00ED54E0" w14:paraId="35434305" w14:textId="77777777">
      <w:r>
        <w:continuationSeparator/>
      </w:r>
    </w:p>
  </w:footnote>
  <w:footnote w:id="2">
    <w:p w:rsidR="007F6EA2" w14:paraId="3DBEBF25"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285F18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790673F" w14:textId="77777777">
    <w:pPr>
      <w:pStyle w:val="Header"/>
      <w:pBdr>
        <w:bottom w:val="single" w:sz="4" w:space="1" w:color="auto"/>
      </w:pBdr>
      <w:tabs>
        <w:tab w:val="clear" w:pos="4513"/>
        <w:tab w:val="clear" w:pos="9027"/>
      </w:tabs>
      <w:jc w:val="center"/>
    </w:pPr>
  </w:p>
  <w:p w:rsidR="00DD3DD7" w:rsidRPr="00DD3DD7" w:rsidP="00DD3DD7" w14:paraId="49D5982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23A055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6E15824" w14:textId="77777777">
    <w:pPr>
      <w:pStyle w:val="Header"/>
      <w:pBdr>
        <w:bottom w:val="single" w:sz="4" w:space="1" w:color="auto"/>
      </w:pBdr>
      <w:tabs>
        <w:tab w:val="clear" w:pos="4513"/>
        <w:tab w:val="clear" w:pos="9027"/>
      </w:tabs>
      <w:jc w:val="center"/>
    </w:pPr>
    <w:bookmarkStart w:id="3" w:name="spsSymbolHeader"/>
    <w:r w:rsidRPr="00DD3DD7">
      <w:t>G/TBT/N/IDN/16/Add.3</w:t>
    </w:r>
    <w:bookmarkEnd w:id="3"/>
  </w:p>
  <w:p w:rsidR="00DD3DD7" w:rsidRPr="00DD3DD7" w:rsidP="00DD3DD7" w14:paraId="2DFF32CC" w14:textId="77777777">
    <w:pPr>
      <w:pStyle w:val="Header"/>
      <w:pBdr>
        <w:bottom w:val="single" w:sz="4" w:space="1" w:color="auto"/>
      </w:pBdr>
      <w:tabs>
        <w:tab w:val="clear" w:pos="4513"/>
        <w:tab w:val="clear" w:pos="9027"/>
      </w:tabs>
      <w:jc w:val="center"/>
    </w:pPr>
  </w:p>
  <w:p w:rsidR="00DD3DD7" w:rsidRPr="00DD3DD7" w:rsidP="00DD3DD7" w14:paraId="324C8E2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DF66A6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7F1C2E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2A0375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777BF46" w14:textId="77777777">
          <w:pPr>
            <w:jc w:val="right"/>
            <w:rPr>
              <w:b/>
              <w:color w:val="FF0000"/>
              <w:szCs w:val="16"/>
            </w:rPr>
          </w:pPr>
          <w:r>
            <w:rPr>
              <w:b/>
              <w:color w:val="FF0000"/>
              <w:szCs w:val="16"/>
            </w:rPr>
            <w:t xml:space="preserve"> </w:t>
          </w:r>
        </w:p>
      </w:tc>
    </w:tr>
    <w:tr w14:paraId="7403CAB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0CE62D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8B3C7C7" w14:textId="77777777">
          <w:pPr>
            <w:jc w:val="right"/>
            <w:rPr>
              <w:b/>
              <w:szCs w:val="16"/>
            </w:rPr>
          </w:pPr>
        </w:p>
      </w:tc>
    </w:tr>
    <w:tr w14:paraId="1A58939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0841D37"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761A3AA" w14:textId="77777777">
          <w:pPr>
            <w:jc w:val="right"/>
            <w:rPr>
              <w:rFonts w:eastAsia="Calibri" w:cs="Times New Roman"/>
              <w:b/>
              <w:szCs w:val="16"/>
            </w:rPr>
          </w:pPr>
          <w:bookmarkStart w:id="4" w:name="bmkSymbols"/>
          <w:r w:rsidRPr="002F663C">
            <w:rPr>
              <w:rFonts w:eastAsia="Calibri" w:cs="Times New Roman"/>
              <w:b/>
              <w:szCs w:val="16"/>
            </w:rPr>
            <w:t>G/TBT/N/IDN/16/Add.3</w:t>
          </w:r>
          <w:bookmarkEnd w:id="4"/>
        </w:p>
        <w:p w:rsidR="00C14444" w:rsidRPr="00C14444" w:rsidP="00C14444" w14:paraId="77D0A50B" w14:textId="77777777">
          <w:pPr>
            <w:jc w:val="center"/>
            <w:rPr>
              <w:szCs w:val="16"/>
            </w:rPr>
          </w:pPr>
        </w:p>
      </w:tc>
    </w:tr>
    <w:tr w14:paraId="630867C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323577B" w14:textId="77777777"/>
      </w:tc>
      <w:tc>
        <w:tcPr>
          <w:tcW w:w="5448" w:type="dxa"/>
          <w:gridSpan w:val="2"/>
          <w:shd w:val="clear" w:color="auto" w:fill="FFFFFF"/>
          <w:tcMar>
            <w:left w:w="108" w:type="dxa"/>
            <w:right w:w="108" w:type="dxa"/>
          </w:tcMar>
          <w:vAlign w:val="center"/>
        </w:tcPr>
        <w:p w:rsidR="00ED54E0" w:rsidRPr="00182B84" w:rsidP="00425DC5" w14:paraId="0DDFF00A" w14:textId="77777777">
          <w:pPr>
            <w:jc w:val="right"/>
            <w:rPr>
              <w:szCs w:val="16"/>
            </w:rPr>
          </w:pPr>
          <w:bookmarkStart w:id="5" w:name="bmkDate"/>
          <w:r w:rsidRPr="00182B84">
            <w:rPr>
              <w:szCs w:val="16"/>
            </w:rPr>
            <w:t>19 February 2025</w:t>
          </w:r>
          <w:bookmarkEnd w:id="5"/>
        </w:p>
      </w:tc>
    </w:tr>
    <w:tr w14:paraId="1F5477B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48132D3" w14:textId="77777777">
          <w:pPr>
            <w:jc w:val="left"/>
            <w:rPr>
              <w:b/>
            </w:rPr>
          </w:pPr>
          <w:bookmarkStart w:id="6" w:name="bmkSerial"/>
          <w:r>
            <w:rPr>
              <w:b w:val="0"/>
              <w:color w:val="FF0000"/>
            </w:rPr>
            <w:t>(25-1153)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B87AF1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214AD35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681A59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6BA39D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E9A74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111048319">
    <w:abstractNumId w:val="9"/>
  </w:num>
  <w:num w:numId="2" w16cid:durableId="1401247417">
    <w:abstractNumId w:val="7"/>
  </w:num>
  <w:num w:numId="3" w16cid:durableId="1183207802">
    <w:abstractNumId w:val="6"/>
  </w:num>
  <w:num w:numId="4" w16cid:durableId="988555647">
    <w:abstractNumId w:val="5"/>
  </w:num>
  <w:num w:numId="5" w16cid:durableId="577637071">
    <w:abstractNumId w:val="4"/>
  </w:num>
  <w:num w:numId="6" w16cid:durableId="1166163448">
    <w:abstractNumId w:val="12"/>
  </w:num>
  <w:num w:numId="7" w16cid:durableId="1543521957">
    <w:abstractNumId w:val="11"/>
  </w:num>
  <w:num w:numId="8" w16cid:durableId="1203128402">
    <w:abstractNumId w:val="10"/>
  </w:num>
  <w:num w:numId="9" w16cid:durableId="19269626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904382">
    <w:abstractNumId w:val="13"/>
  </w:num>
  <w:num w:numId="11" w16cid:durableId="1033531681">
    <w:abstractNumId w:val="8"/>
  </w:num>
  <w:num w:numId="12" w16cid:durableId="429082648">
    <w:abstractNumId w:val="3"/>
  </w:num>
  <w:num w:numId="13" w16cid:durableId="1373386183">
    <w:abstractNumId w:val="2"/>
  </w:num>
  <w:num w:numId="14" w16cid:durableId="743718474">
    <w:abstractNumId w:val="1"/>
  </w:num>
  <w:num w:numId="15" w16cid:durableId="1241409523">
    <w:abstractNumId w:val="0"/>
  </w:num>
  <w:num w:numId="16" w16cid:durableId="141462645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718621815">
    <w:abstractNumId w:val="14"/>
  </w:num>
  <w:num w:numId="18" w16cid:durableId="1838573468">
    <w:abstractNumId w:val="15"/>
  </w:num>
  <w:num w:numId="19" w16cid:durableId="17928242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1E413B"/>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C7157"/>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576F7"/>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EA1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jdih.kemenperin.go.id/dokumen/view?id=1540" TargetMode="External" /><Relationship Id="rId7" Type="http://schemas.openxmlformats.org/officeDocument/2006/relationships/hyperlink" Target="https://members.wto.org/crnattachments/2025/TBT/IDN/final_measure/25_01478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2025-02-19T09:24:00Z</dcterms:created>
  <dcterms:modified xsi:type="dcterms:W3CDTF">2025-02-19T09:24:00Z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