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166306B" w14:textId="77777777">
      <w:pPr>
        <w:pStyle w:val="Title"/>
      </w:pPr>
      <w:r w:rsidRPr="002F663C">
        <w:t>NOTIFICATION</w:t>
      </w:r>
    </w:p>
    <w:p w:rsidR="002F663C" w:rsidRPr="002F663C" w:rsidP="00DD3DD7" w14:paraId="785C76AC" w14:textId="77777777">
      <w:pPr>
        <w:pStyle w:val="Title3"/>
      </w:pPr>
      <w:r w:rsidRPr="002F663C">
        <w:t>Addendum</w:t>
      </w:r>
    </w:p>
    <w:p w:rsidR="002F663C" w:rsidP="001E2E4A" w14:paraId="0E41A3C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11 February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0735473D" w14:textId="77777777">
      <w:pPr>
        <w:rPr>
          <w:rFonts w:eastAsia="Calibri" w:cs="Times New Roman"/>
        </w:rPr>
      </w:pPr>
    </w:p>
    <w:p w:rsidR="002F663C" w:rsidRPr="002F663C" w:rsidP="002F663C" w14:paraId="21FAB43F" w14:textId="77777777">
      <w:pPr>
        <w:jc w:val="center"/>
        <w:rPr>
          <w:rFonts w:eastAsia="Calibri" w:cs="Times New Roman"/>
          <w:b/>
        </w:rPr>
      </w:pPr>
      <w:r w:rsidRPr="002F663C">
        <w:rPr>
          <w:rFonts w:eastAsia="Calibri" w:cs="Times New Roman"/>
          <w:b/>
        </w:rPr>
        <w:t>_______________</w:t>
      </w:r>
    </w:p>
    <w:p w:rsidR="002F663C" w:rsidP="002F663C" w14:paraId="29E19A7F" w14:textId="77777777">
      <w:pPr>
        <w:rPr>
          <w:rFonts w:eastAsia="Calibri" w:cs="Times New Roman"/>
        </w:rPr>
      </w:pPr>
    </w:p>
    <w:p w:rsidR="00C14444" w:rsidRPr="002F663C" w:rsidP="002F663C" w14:paraId="4EF0CA29" w14:textId="77777777">
      <w:pPr>
        <w:rPr>
          <w:rFonts w:eastAsia="Calibri" w:cs="Times New Roman"/>
        </w:rPr>
      </w:pPr>
    </w:p>
    <w:p w:rsidR="002F663C" w:rsidRPr="002F663C" w:rsidP="002F663C" w14:paraId="0688607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Nail Products Containing Methyl Methacrylate (MMA) as a Priority Product Department of Toxic Substances Control Reference Number: R-2023-03R</w:t>
      </w:r>
    </w:p>
    <w:p w:rsidR="002F663C" w:rsidRPr="002F663C" w:rsidP="002F663C" w14:paraId="38E85E7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02CBE7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57DA4E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3164860" w14:textId="77777777" w:rsidTr="00E9471B">
        <w:tblPrEx>
          <w:tblW w:w="9049" w:type="dxa"/>
          <w:tblLayout w:type="fixed"/>
          <w:tblLook w:val="04A0"/>
        </w:tblPrEx>
        <w:tc>
          <w:tcPr>
            <w:tcW w:w="851" w:type="dxa"/>
            <w:shd w:val="clear" w:color="auto" w:fill="auto"/>
          </w:tcPr>
          <w:p w:rsidR="002F663C" w:rsidRPr="00711F9C" w:rsidP="00C14444" w14:paraId="4F938EB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AD6876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14C8F65" w14:textId="77777777" w:rsidTr="00E9471B">
        <w:tblPrEx>
          <w:tblW w:w="9049" w:type="dxa"/>
          <w:tblLayout w:type="fixed"/>
          <w:tblLook w:val="04A0"/>
        </w:tblPrEx>
        <w:tc>
          <w:tcPr>
            <w:tcW w:w="851" w:type="dxa"/>
            <w:shd w:val="clear" w:color="auto" w:fill="auto"/>
          </w:tcPr>
          <w:p w:rsidR="002F663C" w:rsidRPr="00711F9C" w:rsidP="00C14444" w14:paraId="48E3546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428EE5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A239CD2" w14:textId="77777777" w:rsidTr="00E9471B">
        <w:tblPrEx>
          <w:tblW w:w="9049" w:type="dxa"/>
          <w:tblLayout w:type="fixed"/>
          <w:tblLook w:val="04A0"/>
        </w:tblPrEx>
        <w:tc>
          <w:tcPr>
            <w:tcW w:w="851" w:type="dxa"/>
            <w:shd w:val="clear" w:color="auto" w:fill="auto"/>
          </w:tcPr>
          <w:p w:rsidR="002F663C" w:rsidRPr="00711F9C" w:rsidP="00C14444" w14:paraId="3125DEF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4E7C2A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F8AD397" w14:textId="77777777" w:rsidTr="00E9471B">
        <w:tblPrEx>
          <w:tblW w:w="9049" w:type="dxa"/>
          <w:tblLayout w:type="fixed"/>
          <w:tblLook w:val="04A0"/>
        </w:tblPrEx>
        <w:tc>
          <w:tcPr>
            <w:tcW w:w="851" w:type="dxa"/>
            <w:shd w:val="clear" w:color="auto" w:fill="auto"/>
          </w:tcPr>
          <w:p w:rsidR="002F663C" w:rsidRPr="00711F9C" w:rsidP="00C14444" w14:paraId="6343EC7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FD2A82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F16C7A4" w14:textId="77777777" w:rsidTr="00E9471B">
        <w:tblPrEx>
          <w:tblW w:w="9049" w:type="dxa"/>
          <w:tblLayout w:type="fixed"/>
          <w:tblLook w:val="04A0"/>
        </w:tblPrEx>
        <w:tc>
          <w:tcPr>
            <w:tcW w:w="851" w:type="dxa"/>
            <w:shd w:val="clear" w:color="auto" w:fill="auto"/>
          </w:tcPr>
          <w:p w:rsidR="002F663C" w:rsidRPr="00711F9C" w:rsidP="00C14444" w14:paraId="5BE40A6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66F838E"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53BF8297" w14:textId="77777777" w:rsidTr="00E9471B">
        <w:tblPrEx>
          <w:tblW w:w="9049" w:type="dxa"/>
          <w:tblLayout w:type="fixed"/>
          <w:tblLook w:val="04A0"/>
        </w:tblPrEx>
        <w:tc>
          <w:tcPr>
            <w:tcW w:w="851" w:type="dxa"/>
            <w:shd w:val="clear" w:color="auto" w:fill="auto"/>
          </w:tcPr>
          <w:p w:rsidR="002F663C" w:rsidRPr="00711F9C" w:rsidP="00C14444" w14:paraId="77F58503"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0FCCB4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D0E96E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F73FACB" w14:textId="77777777" w:rsidTr="00E9471B">
        <w:tblPrEx>
          <w:tblW w:w="9049" w:type="dxa"/>
          <w:tblLayout w:type="fixed"/>
          <w:tblLook w:val="04A0"/>
        </w:tblPrEx>
        <w:tc>
          <w:tcPr>
            <w:tcW w:w="851" w:type="dxa"/>
            <w:shd w:val="clear" w:color="auto" w:fill="auto"/>
          </w:tcPr>
          <w:p w:rsidR="002F663C" w:rsidRPr="00711F9C" w:rsidP="00C14444" w14:paraId="7501CBE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60F8FA3E"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4AA510BD" w14:textId="77777777">
            <w:pPr>
              <w:spacing w:before="120" w:after="120"/>
              <w:rPr>
                <w:rFonts w:eastAsia="Calibri" w:cs="Times New Roman"/>
              </w:rPr>
            </w:pPr>
            <w:r>
              <w:rPr>
                <w:rFonts w:eastAsia="Calibri" w:cs="Times New Roman"/>
              </w:rPr>
              <w:t>15-Day Notice of Modified Regulatory Text</w:t>
            </w:r>
          </w:p>
          <w:p w:rsidR="00082727" w:rsidP="00C14444" w14:paraId="397FF1EF" w14:textId="77777777">
            <w:pPr>
              <w:spacing w:before="120" w:after="120"/>
              <w:rPr>
                <w:rFonts w:eastAsia="Calibri" w:cs="Times New Roman"/>
              </w:rPr>
            </w:pPr>
            <w:hyperlink r:id="rId7" w:tgtFrame="_blank" w:history="1">
              <w:r>
                <w:rPr>
                  <w:rFonts w:eastAsia="Calibri" w:cs="Times New Roman"/>
                  <w:color w:val="0000FF"/>
                  <w:u w:val="single"/>
                </w:rPr>
                <w:t>https://dtsc.ca.gov/listing-nail-products-containing-methyl-methacrylate-mma-as-a-priority-product/</w:t>
              </w:r>
            </w:hyperlink>
          </w:p>
          <w:p w:rsidR="002F663C" w:rsidRPr="002F663C" w:rsidP="00C14444" w14:paraId="7C713E67" w14:textId="77777777">
            <w:pPr>
              <w:spacing w:before="60" w:after="60"/>
              <w:rPr>
                <w:rFonts w:eastAsia="Calibri" w:cs="Times New Roman"/>
              </w:rPr>
            </w:pPr>
            <w:r w:rsidRPr="00F77BEC">
              <w:rPr>
                <w:rFonts w:eastAsia="Calibri" w:cs="Times New Roman"/>
              </w:rPr>
              <w:t>N</w:t>
            </w:r>
            <w:r w:rsidRPr="002F663C">
              <w:rPr>
                <w:rFonts w:eastAsia="Calibri" w:cs="Times New Roman"/>
              </w:rPr>
              <w:t xml:space="preserve">ew deadline for comments (if </w:t>
            </w:r>
            <w:r w:rsidRPr="002F663C">
              <w:rPr>
                <w:rFonts w:eastAsia="Calibri" w:cs="Times New Roman"/>
              </w:rPr>
              <w:t>applicable):</w:t>
            </w:r>
            <w:r w:rsidR="00467A46">
              <w:rPr>
                <w:rFonts w:eastAsia="Calibri" w:cs="Times New Roman"/>
              </w:rPr>
              <w:t xml:space="preserve"> 25 February 2025</w:t>
            </w:r>
          </w:p>
        </w:tc>
      </w:tr>
      <w:tr w14:paraId="54F3DDB2" w14:textId="77777777" w:rsidTr="00E9471B">
        <w:tblPrEx>
          <w:tblW w:w="9049" w:type="dxa"/>
          <w:tblLayout w:type="fixed"/>
          <w:tblLook w:val="04A0"/>
        </w:tblPrEx>
        <w:tc>
          <w:tcPr>
            <w:tcW w:w="851" w:type="dxa"/>
            <w:shd w:val="clear" w:color="auto" w:fill="auto"/>
          </w:tcPr>
          <w:p w:rsidR="002F663C" w:rsidRPr="00711F9C" w:rsidP="00C14444" w14:paraId="3F68FD8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39D2542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1E9FF6E"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2A8CDAF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78B925B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38F9004B" w14:textId="77777777">
      <w:pPr>
        <w:jc w:val="left"/>
        <w:rPr>
          <w:rFonts w:eastAsia="Calibri" w:cs="Times New Roman"/>
          <w:highlight w:val="yellow"/>
        </w:rPr>
      </w:pPr>
    </w:p>
    <w:p w:rsidR="003971FF" w:rsidRPr="007F6EA2" w:rsidP="00B16ACF" w14:paraId="438D154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SAFER CONSUMER PRODUCTS (SCP) REGULATIONS </w:t>
      </w:r>
    </w:p>
    <w:p w:rsidR="00480229" w:rsidRPr="002F663C" w:rsidP="00B16ACF" w14:paraId="16767BC5" w14:textId="77777777">
      <w:pPr>
        <w:spacing w:before="120" w:after="120"/>
        <w:rPr>
          <w:rFonts w:eastAsia="Calibri" w:cs="Times New Roman"/>
          <w:szCs w:val="18"/>
        </w:rPr>
      </w:pPr>
      <w:r w:rsidRPr="002F663C">
        <w:rPr>
          <w:rFonts w:eastAsia="Calibri" w:cs="Times New Roman"/>
          <w:szCs w:val="18"/>
        </w:rPr>
        <w:t>Listing Nail Products Containing Methyl Methacrylate (MMA) at Concentrations Greater than 1,000 parts per million (ppm) as a Priority Product</w:t>
      </w:r>
    </w:p>
    <w:p w:rsidR="00480229" w:rsidRPr="002F663C" w:rsidP="00B16ACF" w14:paraId="5A76FDC5" w14:textId="77777777">
      <w:pPr>
        <w:spacing w:before="120" w:after="120"/>
        <w:rPr>
          <w:rFonts w:eastAsia="Calibri" w:cs="Times New Roman"/>
          <w:szCs w:val="18"/>
        </w:rPr>
      </w:pPr>
      <w:r w:rsidRPr="002F663C">
        <w:rPr>
          <w:rFonts w:eastAsia="Calibri" w:cs="Times New Roman"/>
          <w:szCs w:val="18"/>
        </w:rPr>
        <w:t>The California Department of Toxic Substances Control (DTSC) proposes to change the definition of the Priority Product to exclude nail products containing equal to or less than 1,000 ppm of MMA from the definition of the Priority Product.</w:t>
      </w:r>
    </w:p>
    <w:p w:rsidR="00480229" w:rsidRPr="002F663C" w:rsidP="00B16ACF" w14:paraId="21F25A2A" w14:textId="77777777">
      <w:pPr>
        <w:spacing w:before="120" w:after="120"/>
        <w:rPr>
          <w:rFonts w:eastAsia="Calibri" w:cs="Times New Roman"/>
          <w:szCs w:val="18"/>
        </w:rPr>
      </w:pPr>
      <w:r w:rsidRPr="002F663C">
        <w:rPr>
          <w:rFonts w:eastAsia="Calibri" w:cs="Times New Roman"/>
          <w:szCs w:val="18"/>
        </w:rPr>
        <w:t xml:space="preserve">To view the proposed regulatory text and all other rulemaking documents, visit </w:t>
      </w:r>
      <w:hyperlink r:id="rId8" w:history="1">
        <w:r w:rsidRPr="002F663C">
          <w:rPr>
            <w:rFonts w:eastAsia="Calibri" w:cs="Times New Roman"/>
            <w:color w:val="0000FF"/>
            <w:szCs w:val="18"/>
            <w:u w:val="single"/>
          </w:rPr>
          <w:t>DTSC's Proposed Regulations webpage</w:t>
        </w:r>
      </w:hyperlink>
      <w:r w:rsidRPr="002F663C">
        <w:rPr>
          <w:rFonts w:eastAsia="Calibri" w:cs="Times New Roman"/>
          <w:szCs w:val="18"/>
        </w:rPr>
        <w:t>.</w:t>
      </w:r>
    </w:p>
    <w:p w:rsidR="00480229" w:rsidRPr="002F663C" w:rsidP="00B16ACF" w14:paraId="6979D0CD" w14:textId="77777777">
      <w:pPr>
        <w:spacing w:before="120" w:after="120"/>
        <w:rPr>
          <w:rFonts w:eastAsia="Calibri" w:cs="Times New Roman"/>
          <w:szCs w:val="18"/>
        </w:rPr>
      </w:pPr>
      <w:r w:rsidRPr="002F663C">
        <w:rPr>
          <w:rFonts w:eastAsia="Calibri" w:cs="Times New Roman"/>
          <w:szCs w:val="18"/>
        </w:rPr>
        <w:t>Under the proposal initially public noticed on 1 November 2024, manufacturers producing nail products containing 1,000 ppm or less of MMA would have been required to comply with Alternatives Analysis Threshold Notifications (</w:t>
      </w:r>
      <w:r w:rsidRPr="002F663C">
        <w:rPr>
          <w:rFonts w:eastAsia="Calibri" w:cs="Times New Roman"/>
          <w:szCs w:val="18"/>
        </w:rPr>
        <w:t>AATNs</w:t>
      </w:r>
      <w:r w:rsidRPr="002F663C">
        <w:rPr>
          <w:rFonts w:eastAsia="Calibri" w:cs="Times New Roman"/>
          <w:szCs w:val="18"/>
        </w:rPr>
        <w:t>) and Priority Product Notifications (</w:t>
      </w:r>
      <w:r w:rsidRPr="002F663C">
        <w:rPr>
          <w:rFonts w:eastAsia="Calibri" w:cs="Times New Roman"/>
          <w:szCs w:val="18"/>
        </w:rPr>
        <w:t>PPNs</w:t>
      </w:r>
      <w:r w:rsidRPr="002F663C">
        <w:rPr>
          <w:rFonts w:eastAsia="Calibri" w:cs="Times New Roman"/>
          <w:szCs w:val="18"/>
        </w:rPr>
        <w:t xml:space="preserve">) requirements. Under this proposal, those nail products would not be subject to the SCP regulations; therefore, the manufacturers of those nail products would not be required to submit any </w:t>
      </w:r>
      <w:r w:rsidRPr="002F663C">
        <w:rPr>
          <w:rFonts w:eastAsia="Calibri" w:cs="Times New Roman"/>
          <w:szCs w:val="18"/>
        </w:rPr>
        <w:t>AATNs</w:t>
      </w:r>
      <w:r w:rsidRPr="002F663C">
        <w:rPr>
          <w:rFonts w:eastAsia="Calibri" w:cs="Times New Roman"/>
          <w:szCs w:val="18"/>
        </w:rPr>
        <w:t xml:space="preserve"> nor </w:t>
      </w:r>
      <w:r w:rsidRPr="002F663C">
        <w:rPr>
          <w:rFonts w:eastAsia="Calibri" w:cs="Times New Roman"/>
          <w:szCs w:val="18"/>
        </w:rPr>
        <w:t>PPNs</w:t>
      </w:r>
      <w:r w:rsidRPr="002F663C">
        <w:rPr>
          <w:rFonts w:eastAsia="Calibri" w:cs="Times New Roman"/>
          <w:szCs w:val="18"/>
        </w:rPr>
        <w:t>.</w:t>
      </w:r>
    </w:p>
    <w:p w:rsidR="00480229" w:rsidRPr="002F663C" w:rsidP="00B16ACF" w14:paraId="014C369F" w14:textId="77777777">
      <w:pPr>
        <w:spacing w:before="120" w:after="120"/>
        <w:rPr>
          <w:rFonts w:eastAsia="Calibri" w:cs="Times New Roman"/>
          <w:szCs w:val="18"/>
        </w:rPr>
      </w:pPr>
      <w:r w:rsidRPr="002F663C">
        <w:rPr>
          <w:rFonts w:eastAsia="Calibri" w:cs="Times New Roman"/>
          <w:szCs w:val="18"/>
        </w:rPr>
        <w:t>A public comment period for the rulemaking has been established commencing on 10 February 2025, and closing on 25 February 2025.</w:t>
      </w:r>
    </w:p>
    <w:p w:rsidR="00480229" w:rsidRPr="002F663C" w:rsidP="00B16ACF" w14:paraId="63D825AF" w14:textId="77777777">
      <w:pPr>
        <w:spacing w:before="120" w:after="120"/>
        <w:rPr>
          <w:rFonts w:eastAsia="Calibri" w:cs="Times New Roman"/>
          <w:szCs w:val="18"/>
        </w:rPr>
      </w:pPr>
      <w:r w:rsidRPr="002F663C">
        <w:rPr>
          <w:rFonts w:eastAsia="Calibri" w:cs="Times New Roman"/>
          <w:szCs w:val="18"/>
        </w:rPr>
        <w:t xml:space="preserve">WTO Members and their stakeholders are asked to submit comments to the </w:t>
      </w:r>
      <w:hyperlink r:id="rId9"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0"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Eastern Time</w:t>
        </w:r>
      </w:hyperlink>
      <w:r w:rsidRPr="002F663C">
        <w:rPr>
          <w:rFonts w:eastAsia="Calibri" w:cs="Times New Roman"/>
          <w:szCs w:val="18"/>
        </w:rPr>
        <w:t xml:space="preserve"> on 25 February 2025 will be shared with DTSC if received within the comment period.</w:t>
      </w:r>
    </w:p>
    <w:p w:rsidR="006C5A96" w:rsidP="006C5A96" w14:paraId="762AA60E" w14:textId="77777777">
      <w:pPr>
        <w:jc w:val="center"/>
        <w:rPr>
          <w:b/>
        </w:rPr>
      </w:pPr>
      <w:r w:rsidRPr="003971FF">
        <w:rPr>
          <w:b/>
        </w:rPr>
        <w:t>__________</w:t>
      </w:r>
    </w:p>
    <w:p w:rsidR="004D4D19" w:rsidP="007F38C2" w14:paraId="5D315993" w14:textId="77777777">
      <w:pPr>
        <w:jc w:val="center"/>
        <w:rPr>
          <w:b/>
        </w:rPr>
      </w:pPr>
    </w:p>
    <w:p w:rsidR="00A1565D" w:rsidP="003971FF" w14:paraId="49464B39" w14:textId="77777777">
      <w:pPr>
        <w:jc w:val="center"/>
        <w:rPr>
          <w:b/>
        </w:rPr>
      </w:pPr>
    </w:p>
    <w:sectPr w:rsidSect="006C5A96">
      <w:headerReference w:type="even" r:id="rId12"/>
      <w:headerReference w:type="default" r:id="rId13"/>
      <w:footerReference w:type="even" r:id="rId14"/>
      <w:footerReference w:type="default" r:id="rId15"/>
      <w:headerReference w:type="first" r:id="rId1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5FCE39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E2C984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F46BAF0" w14:textId="77777777">
      <w:r>
        <w:separator/>
      </w:r>
    </w:p>
  </w:footnote>
  <w:footnote w:type="continuationSeparator" w:id="1">
    <w:p w:rsidR="004D3A6A" w:rsidP="00ED54E0" w14:paraId="292518A3" w14:textId="77777777">
      <w:r>
        <w:continuationSeparator/>
      </w:r>
    </w:p>
  </w:footnote>
  <w:footnote w:id="2">
    <w:p w:rsidR="007F6EA2" w14:paraId="2F77EDF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6E5BDF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6B65525" w14:textId="77777777">
    <w:pPr>
      <w:pStyle w:val="Header"/>
      <w:pBdr>
        <w:bottom w:val="single" w:sz="4" w:space="1" w:color="auto"/>
      </w:pBdr>
      <w:tabs>
        <w:tab w:val="clear" w:pos="4513"/>
        <w:tab w:val="clear" w:pos="9027"/>
      </w:tabs>
      <w:jc w:val="center"/>
    </w:pPr>
  </w:p>
  <w:p w:rsidR="00DD3DD7" w:rsidRPr="00DD3DD7" w:rsidP="00DD3DD7" w14:paraId="7BED5C2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BF5641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12115F5" w14:textId="77777777">
    <w:pPr>
      <w:pStyle w:val="Header"/>
      <w:pBdr>
        <w:bottom w:val="single" w:sz="4" w:space="1" w:color="auto"/>
      </w:pBdr>
      <w:tabs>
        <w:tab w:val="clear" w:pos="4513"/>
        <w:tab w:val="clear" w:pos="9027"/>
      </w:tabs>
      <w:jc w:val="center"/>
    </w:pPr>
    <w:bookmarkStart w:id="3" w:name="spsSymbolHeader"/>
    <w:r w:rsidRPr="00DD3DD7">
      <w:t>G/TBT/N/USA/2160/Add.1</w:t>
    </w:r>
    <w:bookmarkEnd w:id="3"/>
  </w:p>
  <w:p w:rsidR="00DD3DD7" w:rsidRPr="00DD3DD7" w:rsidP="00DD3DD7" w14:paraId="5D542328" w14:textId="77777777">
    <w:pPr>
      <w:pStyle w:val="Header"/>
      <w:pBdr>
        <w:bottom w:val="single" w:sz="4" w:space="1" w:color="auto"/>
      </w:pBdr>
      <w:tabs>
        <w:tab w:val="clear" w:pos="4513"/>
        <w:tab w:val="clear" w:pos="9027"/>
      </w:tabs>
      <w:jc w:val="center"/>
    </w:pPr>
  </w:p>
  <w:p w:rsidR="00DD3DD7" w:rsidRPr="00DD3DD7" w:rsidP="00DD3DD7" w14:paraId="7FD5967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3FFB14E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C1B60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76AAFE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2E9FDFD" w14:textId="77777777">
          <w:pPr>
            <w:jc w:val="right"/>
            <w:rPr>
              <w:b/>
              <w:color w:val="FF0000"/>
              <w:szCs w:val="16"/>
            </w:rPr>
          </w:pPr>
          <w:r>
            <w:rPr>
              <w:b/>
              <w:color w:val="FF0000"/>
              <w:szCs w:val="16"/>
            </w:rPr>
            <w:t xml:space="preserve"> </w:t>
          </w:r>
        </w:p>
      </w:tc>
    </w:tr>
    <w:tr w14:paraId="7D22747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371836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4CA3A11" w14:textId="77777777">
          <w:pPr>
            <w:jc w:val="right"/>
            <w:rPr>
              <w:b/>
              <w:szCs w:val="16"/>
            </w:rPr>
          </w:pPr>
        </w:p>
      </w:tc>
    </w:tr>
    <w:tr w14:paraId="4100C583"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DDBE93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88E4B3A" w14:textId="77777777">
          <w:pPr>
            <w:jc w:val="right"/>
            <w:rPr>
              <w:rFonts w:eastAsia="Calibri" w:cs="Times New Roman"/>
              <w:b/>
              <w:szCs w:val="16"/>
            </w:rPr>
          </w:pPr>
          <w:bookmarkStart w:id="4" w:name="bmkSymbols"/>
          <w:r w:rsidRPr="002F663C">
            <w:rPr>
              <w:rFonts w:eastAsia="Calibri" w:cs="Times New Roman"/>
              <w:b/>
              <w:szCs w:val="16"/>
            </w:rPr>
            <w:t>G/TBT/N/USA/2160/Add.1</w:t>
          </w:r>
          <w:bookmarkEnd w:id="4"/>
        </w:p>
        <w:p w:rsidR="00C14444" w:rsidRPr="00C14444" w:rsidP="00C14444" w14:paraId="35E8DA05" w14:textId="77777777">
          <w:pPr>
            <w:jc w:val="center"/>
            <w:rPr>
              <w:szCs w:val="16"/>
            </w:rPr>
          </w:pPr>
        </w:p>
      </w:tc>
    </w:tr>
    <w:tr w14:paraId="6752C54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5A6084F" w14:textId="77777777"/>
      </w:tc>
      <w:tc>
        <w:tcPr>
          <w:tcW w:w="5448" w:type="dxa"/>
          <w:gridSpan w:val="2"/>
          <w:shd w:val="clear" w:color="auto" w:fill="FFFFFF"/>
          <w:tcMar>
            <w:left w:w="108" w:type="dxa"/>
            <w:right w:w="108" w:type="dxa"/>
          </w:tcMar>
          <w:vAlign w:val="center"/>
        </w:tcPr>
        <w:p w:rsidR="00ED54E0" w:rsidRPr="00182B84" w:rsidP="00425DC5" w14:paraId="5D9990BF" w14:textId="77777777">
          <w:pPr>
            <w:jc w:val="right"/>
            <w:rPr>
              <w:szCs w:val="16"/>
            </w:rPr>
          </w:pPr>
          <w:bookmarkStart w:id="5" w:name="bmkDate"/>
          <w:r w:rsidRPr="00182B84">
            <w:rPr>
              <w:szCs w:val="16"/>
            </w:rPr>
            <w:t>13 February 2025</w:t>
          </w:r>
          <w:bookmarkEnd w:id="5"/>
        </w:p>
      </w:tc>
    </w:tr>
    <w:tr w14:paraId="6C01DEF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D662E98" w14:textId="77777777">
          <w:pPr>
            <w:jc w:val="left"/>
            <w:rPr>
              <w:b/>
            </w:rPr>
          </w:pPr>
          <w:bookmarkStart w:id="6" w:name="bmkSerial"/>
          <w:r>
            <w:rPr>
              <w:b w:val="0"/>
              <w:color w:val="FF0000"/>
            </w:rPr>
            <w:t>(25-1009)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416713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E43C67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ED4567F"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306FDC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9219C0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3329503">
    <w:abstractNumId w:val="9"/>
  </w:num>
  <w:num w:numId="2" w16cid:durableId="44377943">
    <w:abstractNumId w:val="7"/>
  </w:num>
  <w:num w:numId="3" w16cid:durableId="832989654">
    <w:abstractNumId w:val="6"/>
  </w:num>
  <w:num w:numId="4" w16cid:durableId="984627264">
    <w:abstractNumId w:val="5"/>
  </w:num>
  <w:num w:numId="5" w16cid:durableId="933896985">
    <w:abstractNumId w:val="4"/>
  </w:num>
  <w:num w:numId="6" w16cid:durableId="830484863">
    <w:abstractNumId w:val="12"/>
  </w:num>
  <w:num w:numId="7" w16cid:durableId="2031032747">
    <w:abstractNumId w:val="11"/>
  </w:num>
  <w:num w:numId="8" w16cid:durableId="1220943128">
    <w:abstractNumId w:val="10"/>
  </w:num>
  <w:num w:numId="9" w16cid:durableId="3921197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2101726">
    <w:abstractNumId w:val="13"/>
  </w:num>
  <w:num w:numId="11" w16cid:durableId="1124809879">
    <w:abstractNumId w:val="8"/>
  </w:num>
  <w:num w:numId="12" w16cid:durableId="325322529">
    <w:abstractNumId w:val="3"/>
  </w:num>
  <w:num w:numId="13" w16cid:durableId="1024284571">
    <w:abstractNumId w:val="2"/>
  </w:num>
  <w:num w:numId="14" w16cid:durableId="1420829019">
    <w:abstractNumId w:val="1"/>
  </w:num>
  <w:num w:numId="15" w16cid:durableId="418065138">
    <w:abstractNumId w:val="0"/>
  </w:num>
  <w:num w:numId="16" w16cid:durableId="3669513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10FC5"/>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80229"/>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E53F8"/>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3E16"/>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CE3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time-time.net/times/time-zones/usa-canada/current-eastern-time-est.php" TargetMode="External" /><Relationship Id="rId11" Type="http://schemas.openxmlformats.org/officeDocument/2006/relationships/hyperlink" Target="https://24timezones.com/time-zone/et"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dtsc.ca.gov/listing-nail-products-containing-methyl-methacrylate-mma-as-a-priority-product/" TargetMode="External" /><Relationship Id="rId8" Type="http://schemas.openxmlformats.org/officeDocument/2006/relationships/hyperlink" Target="https://dtsc.ca.gov/dtsc-proposed-regulations/" TargetMode="External" /><Relationship Id="rId9" Type="http://schemas.openxmlformats.org/officeDocument/2006/relationships/hyperlink" Target="mailto:usatbtep@nist.gov"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E1F88BBB-3AD9-4D45-893C-E91A336C89E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361</Words>
  <Characters>2079</Characters>
  <Application>Microsoft Office Word</Application>
  <DocSecurity>0</DocSecurity>
  <Lines>57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2025-02-13T09:43:00Z</dcterms:created>
  <dcterms:modified xsi:type="dcterms:W3CDTF">2025-02-13T09:45:00Z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