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7DBF4F3B" w14:textId="77777777">
      <w:pPr>
        <w:pStyle w:val="Title"/>
      </w:pPr>
      <w:r w:rsidRPr="002F663C">
        <w:t>NOTIFICATION</w:t>
      </w:r>
    </w:p>
    <w:p w:rsidR="002F663C" w:rsidRPr="002F663C" w:rsidP="00DD3DD7" w14:paraId="2F4F7CB3" w14:textId="77777777">
      <w:pPr>
        <w:pStyle w:val="Title3"/>
      </w:pPr>
      <w:r w:rsidRPr="002F663C">
        <w:t>Addendum</w:t>
      </w:r>
    </w:p>
    <w:p w:rsidR="002F663C" w:rsidP="001E2E4A" w14:paraId="176FB905"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11 February 2025, is being circulated at the request of the </w:t>
      </w:r>
      <w:r>
        <w:rPr>
          <w:rFonts w:eastAsia="Calibri" w:cs="Times New Roman"/>
        </w:rPr>
        <w:t>d</w:t>
      </w:r>
      <w:r w:rsidRPr="002F663C">
        <w:rPr>
          <w:rFonts w:eastAsia="Calibri" w:cs="Times New Roman"/>
        </w:rPr>
        <w:t xml:space="preserve">elegation of the </w:t>
      </w:r>
      <w:r w:rsidRPr="002F663C">
        <w:rPr>
          <w:rFonts w:eastAsia="Calibri" w:cs="Times New Roman"/>
          <w:u w:val="single"/>
        </w:rPr>
        <w:t>United States of America</w:t>
      </w:r>
      <w:r w:rsidRPr="002F663C">
        <w:rPr>
          <w:rFonts w:eastAsia="Calibri" w:cs="Times New Roman"/>
        </w:rPr>
        <w:t>.</w:t>
      </w:r>
    </w:p>
    <w:p w:rsidR="001E2E4A" w:rsidRPr="002F663C" w:rsidP="001E2E4A" w14:paraId="3419AE10" w14:textId="77777777">
      <w:pPr>
        <w:rPr>
          <w:rFonts w:eastAsia="Calibri" w:cs="Times New Roman"/>
        </w:rPr>
      </w:pPr>
    </w:p>
    <w:p w:rsidR="002F663C" w:rsidRPr="002F663C" w:rsidP="002F663C" w14:paraId="58376CF5" w14:textId="77777777">
      <w:pPr>
        <w:jc w:val="center"/>
        <w:rPr>
          <w:rFonts w:eastAsia="Calibri" w:cs="Times New Roman"/>
          <w:b/>
        </w:rPr>
      </w:pPr>
      <w:r w:rsidRPr="002F663C">
        <w:rPr>
          <w:rFonts w:eastAsia="Calibri" w:cs="Times New Roman"/>
          <w:b/>
        </w:rPr>
        <w:t>_______________</w:t>
      </w:r>
    </w:p>
    <w:p w:rsidR="002F663C" w:rsidP="002F663C" w14:paraId="615BE857" w14:textId="77777777">
      <w:pPr>
        <w:rPr>
          <w:rFonts w:eastAsia="Calibri" w:cs="Times New Roman"/>
        </w:rPr>
      </w:pPr>
    </w:p>
    <w:p w:rsidR="00C14444" w:rsidRPr="002F663C" w:rsidP="002F663C" w14:paraId="1DED3CAE" w14:textId="77777777">
      <w:pPr>
        <w:rPr>
          <w:rFonts w:eastAsia="Calibri" w:cs="Times New Roman"/>
        </w:rPr>
      </w:pPr>
    </w:p>
    <w:p w:rsidR="002F663C" w:rsidRPr="002F663C" w:rsidP="002F663C" w14:paraId="313DA858"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Climate Protection Program (CPP) 2024</w:t>
      </w:r>
    </w:p>
    <w:p w:rsidR="002F663C" w:rsidRPr="002F663C" w:rsidP="002F663C" w14:paraId="256FF63C"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473123A3"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shd w:val="clear" w:color="auto" w:fill="auto"/>
          </w:tcPr>
          <w:p w:rsidR="002F663C" w:rsidRPr="002F663C" w:rsidP="00C14444" w14:paraId="53463376"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69E24812" w14:textId="77777777" w:rsidTr="00E9471B">
        <w:tblPrEx>
          <w:tblW w:w="9049" w:type="dxa"/>
          <w:tblLayout w:type="fixed"/>
          <w:tblLook w:val="04A0"/>
        </w:tblPrEx>
        <w:tc>
          <w:tcPr>
            <w:tcW w:w="851" w:type="dxa"/>
            <w:shd w:val="clear" w:color="auto" w:fill="auto"/>
          </w:tcPr>
          <w:p w:rsidR="002F663C" w:rsidRPr="00711F9C" w:rsidP="00C14444" w14:paraId="43310206"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shd w:val="clear" w:color="auto" w:fill="auto"/>
          </w:tcPr>
          <w:p w:rsidR="002F663C" w:rsidRPr="002F663C" w:rsidP="00EB7B40" w14:paraId="4A2789E7"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44F94A02" w14:textId="77777777" w:rsidTr="00E9471B">
        <w:tblPrEx>
          <w:tblW w:w="9049" w:type="dxa"/>
          <w:tblLayout w:type="fixed"/>
          <w:tblLook w:val="04A0"/>
        </w:tblPrEx>
        <w:tc>
          <w:tcPr>
            <w:tcW w:w="851" w:type="dxa"/>
            <w:shd w:val="clear" w:color="auto" w:fill="auto"/>
          </w:tcPr>
          <w:p w:rsidR="002F663C" w:rsidRPr="00711F9C" w:rsidP="00C14444" w14:paraId="28F3BC9F" w14:textId="77777777">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rsidR="002F663C" w:rsidRPr="002F663C" w:rsidP="00C14444" w14:paraId="2997F0B0"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w:t>
            </w:r>
          </w:p>
        </w:tc>
      </w:tr>
      <w:tr w14:paraId="164FEE84" w14:textId="77777777" w:rsidTr="00E9471B">
        <w:tblPrEx>
          <w:tblW w:w="9049" w:type="dxa"/>
          <w:tblLayout w:type="fixed"/>
          <w:tblLook w:val="04A0"/>
        </w:tblPrEx>
        <w:tc>
          <w:tcPr>
            <w:tcW w:w="851" w:type="dxa"/>
            <w:shd w:val="clear" w:color="auto" w:fill="auto"/>
          </w:tcPr>
          <w:p w:rsidR="002F663C" w:rsidRPr="00711F9C" w:rsidP="00C14444" w14:paraId="2A98FFCD" w14:textId="77777777">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rsidR="002F663C" w:rsidRPr="002F663C" w:rsidP="00C14444" w14:paraId="4A9A237A"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published - date: </w:t>
            </w:r>
          </w:p>
        </w:tc>
      </w:tr>
      <w:tr w14:paraId="3C24CB31" w14:textId="77777777" w:rsidTr="00E9471B">
        <w:tblPrEx>
          <w:tblW w:w="9049" w:type="dxa"/>
          <w:tblLayout w:type="fixed"/>
          <w:tblLook w:val="04A0"/>
        </w:tblPrEx>
        <w:tc>
          <w:tcPr>
            <w:tcW w:w="851" w:type="dxa"/>
            <w:shd w:val="clear" w:color="auto" w:fill="auto"/>
          </w:tcPr>
          <w:p w:rsidR="002F663C" w:rsidRPr="00711F9C" w:rsidP="00C14444" w14:paraId="137E06B6" w14:textId="77777777">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rsidR="002F663C" w:rsidRPr="002F663C" w:rsidP="00C14444" w14:paraId="64D435E7"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enters into force - date: </w:t>
            </w:r>
          </w:p>
        </w:tc>
      </w:tr>
      <w:tr w14:paraId="3E777945" w14:textId="77777777" w:rsidTr="00E9471B">
        <w:tblPrEx>
          <w:tblW w:w="9049" w:type="dxa"/>
          <w:tblLayout w:type="fixed"/>
          <w:tblLook w:val="04A0"/>
        </w:tblPrEx>
        <w:tc>
          <w:tcPr>
            <w:tcW w:w="851" w:type="dxa"/>
            <w:shd w:val="clear" w:color="auto" w:fill="auto"/>
          </w:tcPr>
          <w:p w:rsidR="002F663C" w:rsidRPr="00711F9C" w:rsidP="00C14444" w14:paraId="6A93DC55" w14:textId="77777777">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rsidR="002F663C" w:rsidRPr="002F663C" w:rsidP="00EB7B40" w14:paraId="4578984C" w14:textId="77777777">
            <w:pPr>
              <w:spacing w:before="60" w:after="6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tc>
      </w:tr>
      <w:tr w14:paraId="32075E7B" w14:textId="77777777" w:rsidTr="00E9471B">
        <w:tblPrEx>
          <w:tblW w:w="9049" w:type="dxa"/>
          <w:tblLayout w:type="fixed"/>
          <w:tblLook w:val="04A0"/>
        </w:tblPrEx>
        <w:tc>
          <w:tcPr>
            <w:tcW w:w="851" w:type="dxa"/>
            <w:shd w:val="clear" w:color="auto" w:fill="auto"/>
          </w:tcPr>
          <w:p w:rsidR="002F663C" w:rsidRPr="00711F9C" w:rsidP="00C14444" w14:paraId="087427DB" w14:textId="77777777">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rsidR="002F663C" w:rsidRPr="002F663C" w:rsidP="00EB7B40" w14:paraId="6B29C397"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3C415930"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256248CF" w14:textId="77777777" w:rsidTr="00E9471B">
        <w:tblPrEx>
          <w:tblW w:w="9049" w:type="dxa"/>
          <w:tblLayout w:type="fixed"/>
          <w:tblLook w:val="04A0"/>
        </w:tblPrEx>
        <w:tc>
          <w:tcPr>
            <w:tcW w:w="851" w:type="dxa"/>
            <w:shd w:val="clear" w:color="auto" w:fill="auto"/>
          </w:tcPr>
          <w:p w:rsidR="002F663C" w:rsidRPr="00711F9C" w:rsidP="00C14444" w14:paraId="5FC05891" w14:textId="77777777">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rsidR="002F663C" w:rsidRPr="002F663C" w:rsidP="00C14444" w14:paraId="7112A23E" w14:textId="77777777">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2F663C" w:rsidRPr="002F663C" w:rsidP="00C14444" w14:paraId="72E7101E"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14:paraId="228F2FF8" w14:textId="77777777" w:rsidTr="00E9471B">
        <w:tblPrEx>
          <w:tblW w:w="9049" w:type="dxa"/>
          <w:tblLayout w:type="fixed"/>
          <w:tblLook w:val="04A0"/>
        </w:tblPrEx>
        <w:tc>
          <w:tcPr>
            <w:tcW w:w="851" w:type="dxa"/>
            <w:shd w:val="clear" w:color="auto" w:fill="auto"/>
          </w:tcPr>
          <w:p w:rsidR="002F663C" w:rsidRPr="00711F9C" w:rsidP="00C14444" w14:paraId="468FF50E"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shd w:val="clear" w:color="auto" w:fill="auto"/>
          </w:tcPr>
          <w:p w:rsidR="002F663C" w:rsidRPr="002F663C" w:rsidP="00D95F69" w14:paraId="1BB8FB58"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5259B327" w14:textId="77777777" w:rsidTr="00E9471B">
        <w:tblPrEx>
          <w:tblW w:w="9049" w:type="dxa"/>
          <w:tblLayout w:type="fixed"/>
          <w:tblLook w:val="04A0"/>
        </w:tblPrEx>
        <w:tc>
          <w:tcPr>
            <w:tcW w:w="851" w:type="dxa"/>
            <w:tcBorders>
              <w:bottom w:val="double" w:sz="4" w:space="0" w:color="auto"/>
            </w:tcBorders>
            <w:shd w:val="clear" w:color="auto" w:fill="auto"/>
          </w:tcPr>
          <w:p w:rsidR="002F663C" w:rsidRPr="00711F9C" w:rsidP="00C14444" w14:paraId="6A2FFE21" w14:textId="77777777">
            <w:pPr>
              <w:spacing w:before="60" w:after="60"/>
              <w:ind w:left="567" w:hanging="567"/>
              <w:rPr>
                <w:rFonts w:eastAsia="Calibri" w:cs="Times New Roman"/>
                <w:szCs w:val="18"/>
              </w:rPr>
            </w:pPr>
            <w:r w:rsidRPr="00711F9C">
              <w:rPr>
                <w:rFonts w:eastAsia="Calibri" w:cs="Times New Roman"/>
                <w:szCs w:val="18"/>
              </w:rPr>
              <w:t>[X]</w:t>
            </w:r>
          </w:p>
        </w:tc>
        <w:tc>
          <w:tcPr>
            <w:tcW w:w="8198" w:type="dxa"/>
            <w:tcBorders>
              <w:bottom w:val="double" w:sz="4" w:space="0" w:color="auto"/>
            </w:tcBorders>
            <w:shd w:val="clear" w:color="auto" w:fill="auto"/>
          </w:tcPr>
          <w:p w:rsidR="002F663C" w:rsidRPr="002F663C" w:rsidP="00EB7B40" w14:paraId="4E352B4D" w14:textId="77777777">
            <w:pPr>
              <w:spacing w:before="60" w:after="12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p w:rsidR="00467A46" w:rsidP="00EB7B40" w14:paraId="68CB17B7" w14:textId="77777777">
            <w:pPr>
              <w:spacing w:before="120" w:after="120"/>
              <w:rPr>
                <w:rFonts w:eastAsia="Calibri" w:cs="Times New Roman"/>
              </w:rPr>
            </w:pPr>
            <w:r>
              <w:rPr>
                <w:rFonts w:eastAsia="Calibri" w:cs="Times New Roman"/>
              </w:rPr>
              <w:t>Oregon Department of Environmental Quality (DEQ) Rulemaking: Climate Protection Program to propose temporary rule on 13 March 2025.</w:t>
            </w:r>
          </w:p>
        </w:tc>
      </w:tr>
      <w:bookmarkEnd w:id="0"/>
    </w:tbl>
    <w:p w:rsidR="002F663C" w:rsidRPr="002F663C" w:rsidP="002F663C" w14:paraId="563AB9AE" w14:textId="77777777">
      <w:pPr>
        <w:jc w:val="left"/>
        <w:rPr>
          <w:rFonts w:eastAsia="Calibri" w:cs="Times New Roman"/>
          <w:highlight w:val="yellow"/>
        </w:rPr>
      </w:pPr>
    </w:p>
    <w:p w:rsidR="003971FF" w:rsidRPr="007F6EA2" w:rsidP="00B16ACF" w14:paraId="25F2323D"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Oregon Department of Environmental Quality (DEQ) Rulemaking: Climate Protection Program to propose temporary rule at the </w:t>
      </w:r>
      <w:hyperlink r:id="rId7" w:history="1">
        <w:r w:rsidRPr="002F663C">
          <w:rPr>
            <w:rFonts w:eastAsia="Calibri" w:cs="Times New Roman"/>
            <w:color w:val="0000FF"/>
            <w:szCs w:val="18"/>
            <w:u w:val="single"/>
          </w:rPr>
          <w:t>13 March 2025, Environmental Quality Commission (EQC) Meeting</w:t>
        </w:r>
      </w:hyperlink>
      <w:r w:rsidRPr="002F663C">
        <w:rPr>
          <w:rFonts w:eastAsia="Calibri" w:cs="Times New Roman"/>
          <w:szCs w:val="18"/>
        </w:rPr>
        <w:t>.</w:t>
      </w:r>
    </w:p>
    <w:p w:rsidR="0072250B" w:rsidRPr="002F663C" w:rsidP="00B16ACF" w14:paraId="577E0276" w14:textId="77777777">
      <w:pPr>
        <w:spacing w:before="120" w:after="120"/>
        <w:rPr>
          <w:rFonts w:eastAsia="Calibri" w:cs="Times New Roman"/>
          <w:szCs w:val="18"/>
        </w:rPr>
      </w:pPr>
      <w:r w:rsidRPr="002F663C">
        <w:rPr>
          <w:rFonts w:eastAsia="Calibri" w:cs="Times New Roman"/>
          <w:szCs w:val="18"/>
        </w:rPr>
        <w:t xml:space="preserve">On 16 November 2024, the Environmental Quality Commission adopted rules to establish the Climate Protection Program in Oregon, as </w:t>
      </w:r>
      <w:hyperlink r:id="rId8" w:history="1">
        <w:r w:rsidRPr="002F663C">
          <w:rPr>
            <w:rFonts w:eastAsia="Calibri" w:cs="Times New Roman"/>
            <w:color w:val="0000FF"/>
            <w:szCs w:val="18"/>
            <w:u w:val="single"/>
          </w:rPr>
          <w:t>OAR Chapter 340, Division 273</w:t>
        </w:r>
      </w:hyperlink>
      <w:r w:rsidRPr="002F663C">
        <w:rPr>
          <w:rFonts w:eastAsia="Calibri" w:cs="Times New Roman"/>
          <w:szCs w:val="18"/>
        </w:rPr>
        <w:t>.</w:t>
      </w:r>
    </w:p>
    <w:p w:rsidR="0072250B" w:rsidRPr="002F663C" w:rsidP="00B16ACF" w14:paraId="18313A78" w14:textId="77777777">
      <w:pPr>
        <w:spacing w:before="120" w:after="120"/>
        <w:rPr>
          <w:rFonts w:eastAsia="Calibri" w:cs="Times New Roman"/>
          <w:szCs w:val="18"/>
        </w:rPr>
      </w:pPr>
      <w:r w:rsidRPr="002F663C">
        <w:rPr>
          <w:rFonts w:eastAsia="Calibri" w:cs="Times New Roman"/>
          <w:szCs w:val="18"/>
        </w:rPr>
        <w:t>The Climate Protection Program sets an enforceable declining cap on greenhouse gas emissions from fossil fuels used throughout Oregon, including diesel, gasoline, and natural gas. The program is designed to reduce these emissions by 50% by 2035 and 90% by 2050.</w:t>
      </w:r>
    </w:p>
    <w:p w:rsidR="0072250B" w:rsidRPr="002F663C" w:rsidP="00B16ACF" w14:paraId="339CB9A7" w14:textId="77777777">
      <w:pPr>
        <w:spacing w:before="120" w:after="120"/>
        <w:rPr>
          <w:rFonts w:eastAsia="Calibri" w:cs="Times New Roman"/>
          <w:szCs w:val="18"/>
        </w:rPr>
      </w:pPr>
      <w:r w:rsidRPr="002F663C">
        <w:rPr>
          <w:rFonts w:eastAsia="Calibri" w:cs="Times New Roman"/>
          <w:szCs w:val="18"/>
        </w:rPr>
        <w:t>In addition to significantly reducing climate pollution, the program:</w:t>
      </w:r>
    </w:p>
    <w:p w:rsidR="0072250B" w:rsidRPr="002F663C" w:rsidP="00B16ACF" w14:paraId="1E8B0E04" w14:textId="77777777">
      <w:pPr>
        <w:spacing w:before="120" w:after="120"/>
        <w:rPr>
          <w:rFonts w:eastAsia="Calibri" w:cs="Times New Roman"/>
          <w:szCs w:val="18"/>
        </w:rPr>
      </w:pPr>
      <w:r w:rsidRPr="002F663C">
        <w:rPr>
          <w:rFonts w:eastAsia="Calibri" w:cs="Times New Roman"/>
          <w:szCs w:val="18"/>
        </w:rPr>
        <w:t>• Supports reductions in other types of air pollution.</w:t>
      </w:r>
    </w:p>
    <w:p w:rsidR="0072250B" w:rsidRPr="002F663C" w:rsidP="00B16ACF" w14:paraId="57A57AD4" w14:textId="77777777">
      <w:pPr>
        <w:spacing w:before="120" w:after="120"/>
        <w:rPr>
          <w:rFonts w:eastAsia="Calibri" w:cs="Times New Roman"/>
          <w:szCs w:val="18"/>
        </w:rPr>
      </w:pPr>
      <w:r w:rsidRPr="002F663C">
        <w:rPr>
          <w:rFonts w:eastAsia="Calibri" w:cs="Times New Roman"/>
          <w:szCs w:val="18"/>
        </w:rPr>
        <w:t>• Improves public health in Oregon communities, particularly environmental justice communities most impacted by pollution and climate change.</w:t>
      </w:r>
    </w:p>
    <w:p w:rsidR="0072250B" w:rsidRPr="002F663C" w:rsidP="00B16ACF" w14:paraId="02660CE2" w14:textId="77777777">
      <w:pPr>
        <w:spacing w:before="120" w:after="120"/>
        <w:rPr>
          <w:rFonts w:eastAsia="Calibri" w:cs="Times New Roman"/>
          <w:szCs w:val="18"/>
        </w:rPr>
      </w:pPr>
      <w:r w:rsidRPr="002F663C">
        <w:rPr>
          <w:rFonts w:eastAsia="Calibri" w:cs="Times New Roman"/>
          <w:szCs w:val="18"/>
        </w:rPr>
        <w:t>• Prioritizes equity by promoting benefits and alleviating burdens for these communities including communities of color, tribal communities, rural communities, and communities experiencing lower incomes.</w:t>
      </w:r>
    </w:p>
    <w:p w:rsidR="0072250B" w:rsidRPr="002F663C" w:rsidP="00B16ACF" w14:paraId="2008E2DD" w14:textId="77777777">
      <w:pPr>
        <w:spacing w:before="120" w:after="120"/>
        <w:rPr>
          <w:rFonts w:eastAsia="Calibri" w:cs="Times New Roman"/>
          <w:szCs w:val="18"/>
        </w:rPr>
      </w:pPr>
      <w:r w:rsidRPr="002F663C">
        <w:rPr>
          <w:rFonts w:eastAsia="Calibri" w:cs="Times New Roman"/>
          <w:szCs w:val="18"/>
        </w:rPr>
        <w:t>• Provides regulated parties with compliance flexibility options to manage their costs.</w:t>
      </w:r>
    </w:p>
    <w:p w:rsidR="0072250B" w:rsidRPr="002F663C" w:rsidP="00B16ACF" w14:paraId="0FF40AF0" w14:textId="77777777">
      <w:pPr>
        <w:spacing w:before="120" w:after="120"/>
        <w:rPr>
          <w:rFonts w:eastAsia="Calibri" w:cs="Times New Roman"/>
          <w:szCs w:val="18"/>
        </w:rPr>
      </w:pPr>
      <w:r w:rsidRPr="002F663C">
        <w:rPr>
          <w:rFonts w:eastAsia="Calibri" w:cs="Times New Roman"/>
          <w:szCs w:val="18"/>
        </w:rPr>
        <w:t>• Supports a strong economy.</w:t>
      </w:r>
    </w:p>
    <w:p w:rsidR="0072250B" w:rsidRPr="002F663C" w:rsidP="00B16ACF" w14:paraId="20544AB8" w14:textId="77777777">
      <w:pPr>
        <w:spacing w:before="120" w:after="120"/>
        <w:rPr>
          <w:rFonts w:eastAsia="Calibri" w:cs="Times New Roman"/>
          <w:szCs w:val="18"/>
        </w:rPr>
      </w:pPr>
      <w:r w:rsidRPr="002F663C">
        <w:rPr>
          <w:rFonts w:eastAsia="Calibri" w:cs="Times New Roman"/>
          <w:b/>
          <w:bCs/>
          <w:szCs w:val="18"/>
        </w:rPr>
        <w:t>Temporary rule summary</w:t>
      </w:r>
    </w:p>
    <w:p w:rsidR="0072250B" w:rsidRPr="002F663C" w:rsidP="00B16ACF" w14:paraId="5CC32ACA" w14:textId="77777777">
      <w:pPr>
        <w:spacing w:before="120" w:after="120"/>
        <w:rPr>
          <w:rFonts w:eastAsia="Calibri" w:cs="Times New Roman"/>
          <w:szCs w:val="18"/>
        </w:rPr>
      </w:pPr>
      <w:r w:rsidRPr="002F663C">
        <w:rPr>
          <w:rFonts w:eastAsia="Calibri" w:cs="Times New Roman"/>
          <w:szCs w:val="18"/>
        </w:rPr>
        <w:t>On 13 March 2025, DEQ will present proposed temporary rules that clarify the adopted rule language in OAR-340-273-0400. The temporary rule amendment is needed to implement the correct and intended methodology for generating additional 2025 compliance instruments. This temporary rule does not introduce any policy changes.</w:t>
      </w:r>
    </w:p>
    <w:p w:rsidR="0072250B" w:rsidRPr="002F663C" w:rsidP="00B16ACF" w14:paraId="464D7F31" w14:textId="77777777">
      <w:pPr>
        <w:spacing w:before="120" w:after="120"/>
        <w:rPr>
          <w:rFonts w:eastAsia="Calibri" w:cs="Times New Roman"/>
          <w:szCs w:val="18"/>
        </w:rPr>
      </w:pPr>
      <w:r w:rsidRPr="002F663C">
        <w:rPr>
          <w:rFonts w:eastAsia="Calibri" w:cs="Times New Roman"/>
          <w:szCs w:val="18"/>
        </w:rPr>
        <w:t xml:space="preserve">Meeting materials will be made available on the </w:t>
      </w:r>
      <w:hyperlink r:id="rId7" w:history="1">
        <w:r w:rsidRPr="002F663C">
          <w:rPr>
            <w:rFonts w:eastAsia="Calibri" w:cs="Times New Roman"/>
            <w:color w:val="0000FF"/>
            <w:szCs w:val="18"/>
            <w:u w:val="single"/>
          </w:rPr>
          <w:t>Environmental Quality Commission website</w:t>
        </w:r>
      </w:hyperlink>
      <w:r w:rsidRPr="002F663C">
        <w:rPr>
          <w:rFonts w:eastAsia="Calibri" w:cs="Times New Roman"/>
          <w:szCs w:val="18"/>
        </w:rPr>
        <w:t>. Information on how to join this meeting is also available on this website.</w:t>
      </w:r>
    </w:p>
    <w:p w:rsidR="0072250B" w:rsidRPr="002F663C" w:rsidP="00B16ACF" w14:paraId="261565A7" w14:textId="77777777">
      <w:pPr>
        <w:spacing w:before="120" w:after="120"/>
        <w:rPr>
          <w:rFonts w:eastAsia="Calibri" w:cs="Times New Roman"/>
          <w:szCs w:val="18"/>
        </w:rPr>
      </w:pPr>
      <w:r w:rsidRPr="002F663C">
        <w:rPr>
          <w:rFonts w:eastAsia="Calibri" w:cs="Times New Roman"/>
          <w:b/>
          <w:bCs/>
          <w:szCs w:val="18"/>
        </w:rPr>
        <w:t>Additional Information</w:t>
      </w:r>
    </w:p>
    <w:p w:rsidR="0072250B" w:rsidRPr="002F663C" w:rsidP="00B16ACF" w14:paraId="1DE96BE5" w14:textId="77777777">
      <w:pPr>
        <w:spacing w:before="120" w:after="120"/>
        <w:rPr>
          <w:rFonts w:eastAsia="Calibri" w:cs="Times New Roman"/>
          <w:szCs w:val="18"/>
        </w:rPr>
      </w:pPr>
      <w:r w:rsidRPr="002F663C">
        <w:rPr>
          <w:rFonts w:eastAsia="Calibri" w:cs="Times New Roman"/>
          <w:szCs w:val="18"/>
        </w:rPr>
        <w:t xml:space="preserve">Please visit the </w:t>
      </w:r>
      <w:hyperlink r:id="rId9" w:history="1">
        <w:r w:rsidRPr="002F663C">
          <w:rPr>
            <w:rFonts w:eastAsia="Calibri" w:cs="Times New Roman"/>
            <w:color w:val="0000FF"/>
            <w:szCs w:val="18"/>
            <w:u w:val="single"/>
          </w:rPr>
          <w:t>Climate Protection Program website</w:t>
        </w:r>
      </w:hyperlink>
      <w:r w:rsidRPr="002F663C">
        <w:rPr>
          <w:rFonts w:eastAsia="Calibri" w:cs="Times New Roman"/>
          <w:szCs w:val="18"/>
        </w:rPr>
        <w:t xml:space="preserve">, sign up to receive updates here, or contact us at </w:t>
      </w:r>
      <w:hyperlink r:id="rId10" w:history="1">
        <w:r w:rsidRPr="002F663C">
          <w:rPr>
            <w:rFonts w:eastAsia="Calibri" w:cs="Times New Roman"/>
            <w:color w:val="0000FF"/>
            <w:szCs w:val="18"/>
            <w:u w:val="single"/>
          </w:rPr>
          <w:t>CPP.INFO@deq.oregon.gov</w:t>
        </w:r>
      </w:hyperlink>
      <w:r w:rsidRPr="002F663C">
        <w:rPr>
          <w:rFonts w:eastAsia="Calibri" w:cs="Times New Roman"/>
          <w:szCs w:val="18"/>
        </w:rPr>
        <w:t>.</w:t>
      </w:r>
    </w:p>
    <w:p w:rsidR="006C5A96" w:rsidP="006C5A96" w14:paraId="1EDCFAD3" w14:textId="77777777">
      <w:pPr>
        <w:jc w:val="center"/>
        <w:rPr>
          <w:b/>
        </w:rPr>
      </w:pPr>
      <w:r w:rsidRPr="003971FF">
        <w:rPr>
          <w:b/>
        </w:rPr>
        <w:t>__________</w:t>
      </w:r>
    </w:p>
    <w:p w:rsidR="004D4D19" w:rsidP="007F38C2" w14:paraId="1E8F20D5" w14:textId="77777777">
      <w:pPr>
        <w:jc w:val="center"/>
        <w:rPr>
          <w:b/>
        </w:rPr>
      </w:pPr>
    </w:p>
    <w:p w:rsidR="00A1565D" w:rsidP="003971FF" w14:paraId="73EB5D59" w14:textId="77777777">
      <w:pPr>
        <w:jc w:val="center"/>
        <w:rPr>
          <w:b/>
        </w:rPr>
      </w:pPr>
    </w:p>
    <w:sectPr w:rsidSect="006C5A96">
      <w:headerReference w:type="even" r:id="rId11"/>
      <w:headerReference w:type="default" r:id="rId12"/>
      <w:footerReference w:type="even" r:id="rId13"/>
      <w:footerReference w:type="default" r:id="rId14"/>
      <w:headerReference w:type="first" r:id="rId15"/>
      <w:footerReference w:type="first" r:id="rId16"/>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3B9E3DEB"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4523E699" w14:textId="77777777">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F3357" w14:paraId="6A714360"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D3A6A" w:rsidP="00ED54E0" w14:paraId="0547EF67" w14:textId="77777777">
      <w:r>
        <w:separator/>
      </w:r>
    </w:p>
  </w:footnote>
  <w:footnote w:type="continuationSeparator" w:id="1">
    <w:p w:rsidR="004D3A6A" w:rsidP="00ED54E0" w14:paraId="32898D90" w14:textId="77777777">
      <w:r>
        <w:continuationSeparator/>
      </w:r>
    </w:p>
  </w:footnote>
  <w:footnote w:id="2">
    <w:p w:rsidR="007F6EA2" w14:paraId="5C706F17"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008A9713"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**/**/Add.*</w:t>
    </w:r>
    <w:bookmarkEnd w:id="2"/>
  </w:p>
  <w:p w:rsidR="004D4D19" w:rsidRPr="00DD3DD7" w:rsidP="00DD3DD7" w14:paraId="5FD25CE3" w14:textId="77777777">
    <w:pPr>
      <w:pStyle w:val="Header"/>
      <w:pBdr>
        <w:bottom w:val="single" w:sz="4" w:space="1" w:color="auto"/>
      </w:pBdr>
      <w:tabs>
        <w:tab w:val="clear" w:pos="4513"/>
        <w:tab w:val="clear" w:pos="9027"/>
      </w:tabs>
      <w:jc w:val="center"/>
    </w:pPr>
  </w:p>
  <w:p w:rsidR="00DD3DD7" w:rsidRPr="00DD3DD7" w:rsidP="00DD3DD7" w14:paraId="24425805"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203777CF"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7F723D7F" w14:textId="77777777">
    <w:pPr>
      <w:pStyle w:val="Header"/>
      <w:pBdr>
        <w:bottom w:val="single" w:sz="4" w:space="1" w:color="auto"/>
      </w:pBdr>
      <w:tabs>
        <w:tab w:val="clear" w:pos="4513"/>
        <w:tab w:val="clear" w:pos="9027"/>
      </w:tabs>
      <w:jc w:val="center"/>
    </w:pPr>
    <w:bookmarkStart w:id="3" w:name="spsSymbolHeader"/>
    <w:r w:rsidRPr="00DD3DD7">
      <w:t>G/TBT/N/USA/2046/Rev.1/Add.6</w:t>
    </w:r>
    <w:bookmarkEnd w:id="3"/>
  </w:p>
  <w:p w:rsidR="00DD3DD7" w:rsidRPr="00DD3DD7" w:rsidP="00DD3DD7" w14:paraId="5CAE3DED" w14:textId="77777777">
    <w:pPr>
      <w:pStyle w:val="Header"/>
      <w:pBdr>
        <w:bottom w:val="single" w:sz="4" w:space="1" w:color="auto"/>
      </w:pBdr>
      <w:tabs>
        <w:tab w:val="clear" w:pos="4513"/>
        <w:tab w:val="clear" w:pos="9027"/>
      </w:tabs>
      <w:jc w:val="center"/>
    </w:pPr>
  </w:p>
  <w:p w:rsidR="00DD3DD7" w:rsidRPr="00DD3DD7" w:rsidP="00DD3DD7" w14:paraId="238A92A1"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t>2</w:t>
    </w:r>
    <w:r w:rsidRPr="00DD3DD7">
      <w:fldChar w:fldCharType="end"/>
    </w:r>
    <w:r w:rsidRPr="00DD3DD7">
      <w:t xml:space="preserve"> -</w:t>
    </w:r>
  </w:p>
  <w:p w:rsidR="00544326" w:rsidRPr="00DD3DD7" w:rsidP="00DD3DD7" w14:paraId="1627E2B0"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13215208"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297EAF19"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7C1029D2" w14:textId="77777777">
          <w:pPr>
            <w:jc w:val="right"/>
            <w:rPr>
              <w:b/>
              <w:color w:val="FF0000"/>
              <w:szCs w:val="16"/>
            </w:rPr>
          </w:pPr>
          <w:r>
            <w:rPr>
              <w:b/>
              <w:color w:val="FF0000"/>
              <w:szCs w:val="16"/>
            </w:rPr>
            <w:t xml:space="preserve"> </w:t>
          </w:r>
        </w:p>
      </w:tc>
    </w:tr>
    <w:tr w14:paraId="21A963D3"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0054B063"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4BFF7146" w14:textId="77777777">
          <w:pPr>
            <w:jc w:val="right"/>
            <w:rPr>
              <w:b/>
              <w:szCs w:val="16"/>
            </w:rPr>
          </w:pPr>
        </w:p>
      </w:tc>
    </w:tr>
    <w:tr w14:paraId="3790E89E"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7A674BE6"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67D7A3DF" w14:textId="77777777">
          <w:pPr>
            <w:jc w:val="right"/>
            <w:rPr>
              <w:rFonts w:eastAsia="Calibri" w:cs="Times New Roman"/>
              <w:b/>
              <w:szCs w:val="16"/>
            </w:rPr>
          </w:pPr>
          <w:bookmarkStart w:id="4" w:name="bmkSymbols"/>
          <w:r w:rsidRPr="002F663C">
            <w:rPr>
              <w:rFonts w:eastAsia="Calibri" w:cs="Times New Roman"/>
              <w:b/>
              <w:szCs w:val="16"/>
            </w:rPr>
            <w:t>G/TBT/N/USA/2046/Rev.1/Add.6</w:t>
          </w:r>
          <w:bookmarkEnd w:id="4"/>
        </w:p>
        <w:p w:rsidR="00C14444" w:rsidRPr="00C14444" w:rsidP="00C14444" w14:paraId="56B6A2D0" w14:textId="77777777">
          <w:pPr>
            <w:jc w:val="center"/>
            <w:rPr>
              <w:szCs w:val="16"/>
            </w:rPr>
          </w:pPr>
        </w:p>
      </w:tc>
    </w:tr>
    <w:tr w14:paraId="2619998E"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4D38D42F" w14:textId="77777777"/>
      </w:tc>
      <w:tc>
        <w:tcPr>
          <w:tcW w:w="5448" w:type="dxa"/>
          <w:gridSpan w:val="2"/>
          <w:shd w:val="clear" w:color="auto" w:fill="FFFFFF"/>
          <w:tcMar>
            <w:left w:w="108" w:type="dxa"/>
            <w:right w:w="108" w:type="dxa"/>
          </w:tcMar>
          <w:vAlign w:val="center"/>
        </w:tcPr>
        <w:p w:rsidR="00ED54E0" w:rsidRPr="00182B84" w:rsidP="00425DC5" w14:paraId="1830E04D" w14:textId="37C07472">
          <w:pPr>
            <w:jc w:val="right"/>
            <w:rPr>
              <w:szCs w:val="16"/>
            </w:rPr>
          </w:pPr>
          <w:bookmarkStart w:id="5" w:name="bmkDate"/>
          <w:bookmarkEnd w:id="5"/>
          <w:r>
            <w:rPr>
              <w:szCs w:val="16"/>
            </w:rPr>
            <w:t>11 February 2025</w:t>
          </w:r>
        </w:p>
      </w:tc>
    </w:tr>
    <w:tr w14:paraId="15F7DC4E"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3F249D2D" w14:textId="5DA24CB6">
          <w:pPr>
            <w:jc w:val="left"/>
            <w:rPr>
              <w:b/>
            </w:rPr>
          </w:pPr>
          <w:bookmarkStart w:id="6" w:name="bmkSerial"/>
          <w:r w:rsidRPr="002F663C">
            <w:rPr>
              <w:rFonts w:eastAsia="Calibri" w:cs="Times New Roman"/>
              <w:color w:val="FF0000"/>
              <w:szCs w:val="16"/>
            </w:rPr>
            <w:t>(25-0963)</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7AAE90D9"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2</w:t>
          </w:r>
          <w:r w:rsidRPr="00182B84">
            <w:rPr>
              <w:bCs/>
              <w:szCs w:val="16"/>
            </w:rPr>
            <w:fldChar w:fldCharType="end"/>
          </w:r>
        </w:p>
      </w:tc>
    </w:tr>
    <w:tr w14:paraId="24C8D072"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60CB5F65"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75179555"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46F174EA"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893615405">
    <w:abstractNumId w:val="9"/>
  </w:num>
  <w:num w:numId="2" w16cid:durableId="137915022">
    <w:abstractNumId w:val="7"/>
  </w:num>
  <w:num w:numId="3" w16cid:durableId="206182704">
    <w:abstractNumId w:val="6"/>
  </w:num>
  <w:num w:numId="4" w16cid:durableId="759376390">
    <w:abstractNumId w:val="5"/>
  </w:num>
  <w:num w:numId="5" w16cid:durableId="2139833778">
    <w:abstractNumId w:val="4"/>
  </w:num>
  <w:num w:numId="6" w16cid:durableId="2104494713">
    <w:abstractNumId w:val="12"/>
  </w:num>
  <w:num w:numId="7" w16cid:durableId="485056327">
    <w:abstractNumId w:val="11"/>
  </w:num>
  <w:num w:numId="8" w16cid:durableId="4941773">
    <w:abstractNumId w:val="10"/>
  </w:num>
  <w:num w:numId="9" w16cid:durableId="155192085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112621951">
    <w:abstractNumId w:val="13"/>
  </w:num>
  <w:num w:numId="11" w16cid:durableId="641887251">
    <w:abstractNumId w:val="8"/>
  </w:num>
  <w:num w:numId="12" w16cid:durableId="2026516795">
    <w:abstractNumId w:val="3"/>
  </w:num>
  <w:num w:numId="13" w16cid:durableId="1354695863">
    <w:abstractNumId w:val="2"/>
  </w:num>
  <w:num w:numId="14" w16cid:durableId="1812358144">
    <w:abstractNumId w:val="1"/>
  </w:num>
  <w:num w:numId="15" w16cid:durableId="512455890">
    <w:abstractNumId w:val="0"/>
  </w:num>
  <w:num w:numId="16" w16cid:durableId="2003123542">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C2A9D"/>
    <w:rsid w:val="001E291F"/>
    <w:rsid w:val="001E2E4A"/>
    <w:rsid w:val="00223DA8"/>
    <w:rsid w:val="00233408"/>
    <w:rsid w:val="00265A0E"/>
    <w:rsid w:val="0027067B"/>
    <w:rsid w:val="00281997"/>
    <w:rsid w:val="002B2435"/>
    <w:rsid w:val="002B2796"/>
    <w:rsid w:val="002B2F95"/>
    <w:rsid w:val="002D78C9"/>
    <w:rsid w:val="002F663C"/>
    <w:rsid w:val="00304F14"/>
    <w:rsid w:val="003156C6"/>
    <w:rsid w:val="00327D40"/>
    <w:rsid w:val="00335575"/>
    <w:rsid w:val="003572B4"/>
    <w:rsid w:val="00370A55"/>
    <w:rsid w:val="00381A7D"/>
    <w:rsid w:val="003971FF"/>
    <w:rsid w:val="00397FF5"/>
    <w:rsid w:val="003E6AFD"/>
    <w:rsid w:val="004244A9"/>
    <w:rsid w:val="00425DC5"/>
    <w:rsid w:val="00467032"/>
    <w:rsid w:val="0046754A"/>
    <w:rsid w:val="00467A46"/>
    <w:rsid w:val="004A220F"/>
    <w:rsid w:val="004C5A53"/>
    <w:rsid w:val="004D3A6A"/>
    <w:rsid w:val="004D4D19"/>
    <w:rsid w:val="004F203A"/>
    <w:rsid w:val="005336B8"/>
    <w:rsid w:val="00544326"/>
    <w:rsid w:val="00547B5F"/>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250B"/>
    <w:rsid w:val="00724E52"/>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55318"/>
    <w:rsid w:val="008739FD"/>
    <w:rsid w:val="00893E85"/>
    <w:rsid w:val="008A0701"/>
    <w:rsid w:val="008B1018"/>
    <w:rsid w:val="008C42D2"/>
    <w:rsid w:val="008E2C13"/>
    <w:rsid w:val="008E372C"/>
    <w:rsid w:val="00917235"/>
    <w:rsid w:val="00992AEA"/>
    <w:rsid w:val="009A4D36"/>
    <w:rsid w:val="009A6F54"/>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CF3357"/>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49CFC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mailto:CPP.INFO@deq.oregon.gov"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yperlink" Target="https://www.oregon.gov/deq/about-us/eqc/Pages/202503.aspx" TargetMode="External" /><Relationship Id="rId8" Type="http://schemas.openxmlformats.org/officeDocument/2006/relationships/hyperlink" Target="https://secure.sos.state.or.us/oard/displayDivisionRules.action?selectedDivision=8651" TargetMode="External" /><Relationship Id="rId9" Type="http://schemas.openxmlformats.org/officeDocument/2006/relationships/hyperlink" Target="https://www.oregon.gov/deq/ghgp/cpp/Pages/default.aspx"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Riveram\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8972F1-B50D-4168-8875-C27AE40FFE84}">
  <ds:schemaRefs>
    <ds:schemaRef ds:uri="http://schemas.titus.com/TitusProperties/"/>
    <ds:schemaRef ds:uri=""/>
  </ds:schemaRefs>
</ds:datastoreItem>
</file>

<file path=customXml/itemProps2.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2</Pages>
  <Words>473</Words>
  <Characters>2698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2019-10-23T07:32:00Z</cp:lastPrinted>
  <dcterms:created xsi:type="dcterms:W3CDTF">2025-02-11T14:26:00Z</dcterms:created>
  <dcterms:modified xsi:type="dcterms:W3CDTF">2025-02-11T14:31:00Z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WTO OFFICIAL</vt:lpwstr>
  </property>
</Properties>
</file>