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442B2" w14:textId="77777777" w:rsidR="002D78C9" w:rsidRDefault="00AE14C9" w:rsidP="00DD3DD7">
      <w:pPr>
        <w:pStyle w:val="Title"/>
      </w:pPr>
      <w:r w:rsidRPr="002F663C">
        <w:t>NOTIFICATION</w:t>
      </w:r>
    </w:p>
    <w:p w14:paraId="662F940F" w14:textId="77777777" w:rsidR="002F663C" w:rsidRPr="002F663C" w:rsidRDefault="00AE14C9" w:rsidP="00DD3DD7">
      <w:pPr>
        <w:pStyle w:val="Title3"/>
      </w:pPr>
      <w:r w:rsidRPr="002F663C">
        <w:t>Addendum</w:t>
      </w:r>
    </w:p>
    <w:p w14:paraId="4A4FE4C8" w14:textId="77777777" w:rsidR="002F663C" w:rsidRDefault="00AE14C9"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7608A49E" w14:textId="77777777" w:rsidR="001E2E4A" w:rsidRPr="002F663C" w:rsidRDefault="001E2E4A" w:rsidP="001E2E4A">
      <w:pPr>
        <w:rPr>
          <w:rFonts w:eastAsia="Calibri" w:cs="Times New Roman"/>
        </w:rPr>
      </w:pPr>
    </w:p>
    <w:p w14:paraId="44A04B0B" w14:textId="77777777" w:rsidR="002F663C" w:rsidRPr="002F663C" w:rsidRDefault="00AE14C9" w:rsidP="002F663C">
      <w:pPr>
        <w:jc w:val="center"/>
        <w:rPr>
          <w:rFonts w:eastAsia="Calibri" w:cs="Times New Roman"/>
          <w:b/>
        </w:rPr>
      </w:pPr>
      <w:r w:rsidRPr="002F663C">
        <w:rPr>
          <w:rFonts w:eastAsia="Calibri" w:cs="Times New Roman"/>
          <w:b/>
        </w:rPr>
        <w:t>_______________</w:t>
      </w:r>
    </w:p>
    <w:p w14:paraId="546BB265" w14:textId="77777777" w:rsidR="002F663C" w:rsidRDefault="002F663C" w:rsidP="002F663C">
      <w:pPr>
        <w:rPr>
          <w:rFonts w:eastAsia="Calibri" w:cs="Times New Roman"/>
        </w:rPr>
      </w:pPr>
    </w:p>
    <w:p w14:paraId="42A7BEE2" w14:textId="77777777" w:rsidR="00C14444" w:rsidRPr="002F663C" w:rsidRDefault="00C14444" w:rsidP="002F663C">
      <w:pPr>
        <w:rPr>
          <w:rFonts w:eastAsia="Calibri" w:cs="Times New Roman"/>
        </w:rPr>
      </w:pPr>
    </w:p>
    <w:p w14:paraId="3852B70C" w14:textId="77777777" w:rsidR="002F663C" w:rsidRPr="002F663C" w:rsidRDefault="00AE14C9"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Test Procedure for Central Air Conditioners and Heat Pumps</w:t>
      </w:r>
    </w:p>
    <w:p w14:paraId="5845241F"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D07F89" w14:paraId="3E6566A7"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F878E27" w14:textId="77777777" w:rsidR="002F663C" w:rsidRPr="002F663C" w:rsidRDefault="00AE14C9"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D07F89" w14:paraId="64FB5692" w14:textId="77777777" w:rsidTr="00E9471B">
        <w:tc>
          <w:tcPr>
            <w:tcW w:w="851" w:type="dxa"/>
            <w:shd w:val="clear" w:color="auto" w:fill="auto"/>
          </w:tcPr>
          <w:p w14:paraId="531FF181" w14:textId="77777777" w:rsidR="002F663C" w:rsidRPr="00711F9C" w:rsidRDefault="00AE14C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B80BDBB" w14:textId="77777777" w:rsidR="002F663C" w:rsidRPr="002F663C" w:rsidRDefault="00AE14C9"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D07F89" w14:paraId="3369AF9D" w14:textId="77777777" w:rsidTr="00E9471B">
        <w:tc>
          <w:tcPr>
            <w:tcW w:w="851" w:type="dxa"/>
            <w:shd w:val="clear" w:color="auto" w:fill="auto"/>
          </w:tcPr>
          <w:p w14:paraId="1934FC41" w14:textId="77777777" w:rsidR="002F663C" w:rsidRPr="00711F9C" w:rsidRDefault="00AE14C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0BDFB98" w14:textId="77777777" w:rsidR="002F663C" w:rsidRPr="002F663C" w:rsidRDefault="00AE14C9"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D07F89" w14:paraId="1E135C19" w14:textId="77777777" w:rsidTr="00E9471B">
        <w:tc>
          <w:tcPr>
            <w:tcW w:w="851" w:type="dxa"/>
            <w:shd w:val="clear" w:color="auto" w:fill="auto"/>
          </w:tcPr>
          <w:p w14:paraId="7882F91E" w14:textId="77777777" w:rsidR="002F663C" w:rsidRPr="00711F9C" w:rsidRDefault="00AE14C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39BE0FE" w14:textId="77777777" w:rsidR="002F663C" w:rsidRPr="002F663C" w:rsidRDefault="00AE14C9"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7 January 2025</w:t>
            </w:r>
          </w:p>
        </w:tc>
      </w:tr>
      <w:tr w:rsidR="00D07F89" w14:paraId="07E686D6" w14:textId="77777777" w:rsidTr="00E9471B">
        <w:tc>
          <w:tcPr>
            <w:tcW w:w="851" w:type="dxa"/>
            <w:shd w:val="clear" w:color="auto" w:fill="auto"/>
          </w:tcPr>
          <w:p w14:paraId="67C0ED2B" w14:textId="77777777" w:rsidR="002F663C" w:rsidRPr="00711F9C" w:rsidRDefault="00AE14C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F576C66" w14:textId="77777777" w:rsidR="002F663C" w:rsidRPr="002F663C" w:rsidRDefault="00AE14C9"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6 February 2025; the amendments will be mandatory for product testing starting 7 July 2025. Manufacturers will be required to use the amended test procedure until the compliance date of any final rule establishing amended energy conservation standards based on the newly established test procedure. At such time, manufacturers will be required to begin using the newly established test procedure. The incorporation by reference of certain publications listed in this rule is approved by the Director of the Federal Register on 6 February 2025.</w:t>
            </w:r>
          </w:p>
        </w:tc>
      </w:tr>
      <w:tr w:rsidR="00D07F89" w14:paraId="57965267" w14:textId="77777777" w:rsidTr="00E9471B">
        <w:tc>
          <w:tcPr>
            <w:tcW w:w="851" w:type="dxa"/>
            <w:shd w:val="clear" w:color="auto" w:fill="auto"/>
          </w:tcPr>
          <w:p w14:paraId="31CF63EF" w14:textId="77777777" w:rsidR="002F663C" w:rsidRPr="00711F9C" w:rsidRDefault="00AE14C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C399765" w14:textId="77777777" w:rsidR="002F663C" w:rsidRPr="002F663C" w:rsidRDefault="00AE14C9"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871FA26" w14:textId="77777777" w:rsidR="002F663C" w:rsidRPr="002F663C" w:rsidRDefault="00616535" w:rsidP="00EB7B40">
            <w:pPr>
              <w:spacing w:before="120" w:after="120"/>
              <w:rPr>
                <w:rFonts w:eastAsia="Calibri" w:cs="Times New Roman"/>
              </w:rPr>
            </w:pPr>
            <w:hyperlink r:id="rId9" w:tgtFrame="_blank" w:history="1">
              <w:r w:rsidR="00AE14C9" w:rsidRPr="002F663C">
                <w:rPr>
                  <w:rFonts w:eastAsia="Calibri" w:cs="Times New Roman"/>
                  <w:color w:val="0000FF"/>
                  <w:u w:val="single"/>
                </w:rPr>
                <w:t>https://members.wto.org/crnattachments/2025/TBT/USA/final_measure/25_00367_00_e.pdf</w:t>
              </w:r>
            </w:hyperlink>
          </w:p>
        </w:tc>
      </w:tr>
      <w:tr w:rsidR="00D07F89" w14:paraId="3EA5F40E" w14:textId="77777777" w:rsidTr="00E9471B">
        <w:tc>
          <w:tcPr>
            <w:tcW w:w="851" w:type="dxa"/>
            <w:shd w:val="clear" w:color="auto" w:fill="auto"/>
          </w:tcPr>
          <w:p w14:paraId="3CE42803" w14:textId="77777777" w:rsidR="002F663C" w:rsidRPr="00711F9C" w:rsidRDefault="00AE14C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7DFD8D4" w14:textId="77777777" w:rsidR="002F663C" w:rsidRPr="002F663C" w:rsidRDefault="00AE14C9"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18DF969" w14:textId="77777777" w:rsidR="002F663C" w:rsidRPr="002F663C" w:rsidRDefault="00AE14C9"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D07F89" w14:paraId="0DA284CB" w14:textId="77777777" w:rsidTr="00E9471B">
        <w:tc>
          <w:tcPr>
            <w:tcW w:w="851" w:type="dxa"/>
            <w:shd w:val="clear" w:color="auto" w:fill="auto"/>
          </w:tcPr>
          <w:p w14:paraId="7F909ECA" w14:textId="77777777" w:rsidR="002F663C" w:rsidRPr="00711F9C" w:rsidRDefault="00AE14C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A28B1A7" w14:textId="77777777" w:rsidR="002F663C" w:rsidRPr="002F663C" w:rsidRDefault="00AE14C9"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363440B1" w14:textId="77777777" w:rsidR="002F663C" w:rsidRPr="002F663C" w:rsidRDefault="00AE14C9"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D07F89" w14:paraId="2154224C" w14:textId="77777777" w:rsidTr="00E9471B">
        <w:tc>
          <w:tcPr>
            <w:tcW w:w="851" w:type="dxa"/>
            <w:shd w:val="clear" w:color="auto" w:fill="auto"/>
          </w:tcPr>
          <w:p w14:paraId="2ECD25F5" w14:textId="77777777" w:rsidR="002F663C" w:rsidRPr="00711F9C" w:rsidRDefault="00AE14C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F35E30D" w14:textId="77777777" w:rsidR="002F663C" w:rsidRPr="002F663C" w:rsidRDefault="00AE14C9"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D07F89" w14:paraId="08EFF363" w14:textId="77777777" w:rsidTr="00E9471B">
        <w:tc>
          <w:tcPr>
            <w:tcW w:w="851" w:type="dxa"/>
            <w:tcBorders>
              <w:bottom w:val="double" w:sz="4" w:space="0" w:color="auto"/>
            </w:tcBorders>
            <w:shd w:val="clear" w:color="auto" w:fill="auto"/>
          </w:tcPr>
          <w:p w14:paraId="33B47668" w14:textId="77777777" w:rsidR="002F663C" w:rsidRPr="00711F9C" w:rsidRDefault="00AE14C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2D2F417C" w14:textId="77777777" w:rsidR="002F663C" w:rsidRPr="002F663C" w:rsidRDefault="00AE14C9"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858DF6C" w14:textId="77777777" w:rsidR="002F663C" w:rsidRPr="002F663C" w:rsidRDefault="002F663C" w:rsidP="002F663C">
      <w:pPr>
        <w:jc w:val="left"/>
        <w:rPr>
          <w:rFonts w:eastAsia="Calibri" w:cs="Times New Roman"/>
          <w:highlight w:val="yellow"/>
        </w:rPr>
      </w:pPr>
    </w:p>
    <w:p w14:paraId="048036DD" w14:textId="77777777" w:rsidR="003971FF" w:rsidRPr="007F6EA2" w:rsidRDefault="00AE14C9"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final rule amends the Federal test procedure for </w:t>
      </w:r>
      <w:hyperlink r:id="rId10" w:history="1">
        <w:r w:rsidRPr="002F663C">
          <w:rPr>
            <w:rFonts w:eastAsia="Calibri" w:cs="Times New Roman"/>
            <w:color w:val="0000FF"/>
            <w:szCs w:val="18"/>
            <w:u w:val="single"/>
          </w:rPr>
          <w:t>central air conditioners and heat pumps (''CAC/HPs'')</w:t>
        </w:r>
      </w:hyperlink>
      <w:r w:rsidRPr="002F663C">
        <w:rPr>
          <w:rFonts w:eastAsia="Calibri" w:cs="Times New Roman"/>
          <w:szCs w:val="18"/>
        </w:rPr>
        <w:t xml:space="preserve"> to incorporate by reference the latest versions of the applicable industry standards. Specifically, the Department of Energy (DOE) is incorporating by reference the latest version of the relevant industry consensus test standard, AHRI 210/240-2024 (I-P) for the current test procedure for CAC/HPs (''appendix M1'') for measuring the current cooling and heating metrics--seasonal energy efficiency ratio 2 (''SEER2'') and heating seasonal performance factor 2 (''HSPF2''). DOE is incorporating by reference the new industry consensus test standard, AHRI 1600-2024 (I-</w:t>
      </w:r>
      <w:r w:rsidRPr="002F663C">
        <w:rPr>
          <w:rFonts w:eastAsia="Calibri" w:cs="Times New Roman"/>
          <w:szCs w:val="18"/>
        </w:rPr>
        <w:lastRenderedPageBreak/>
        <w:t>P), for a new test procedure (''appendix M2'') for CAC/HPs that adopts two new metrics--seasonal cooling and off-mode rating efficiency (''SCORE'') and seasonal heating and off-mode rating efficiency (''SHORE''). Testing to the SCORE and SHORE metrics would not be required until such time as compliance is required with any amended energy conservation standard based on the new metrics. Additionally, DOE is amending certain provisions of DOE's regulations related to representations and enforcement for CAC/HPs.</w:t>
      </w:r>
    </w:p>
    <w:p w14:paraId="45C55CE1" w14:textId="77777777" w:rsidR="00B54357" w:rsidRPr="002F663C" w:rsidRDefault="00AE14C9" w:rsidP="00B16ACF">
      <w:pPr>
        <w:spacing w:before="120" w:after="120"/>
        <w:rPr>
          <w:rFonts w:eastAsia="Calibri" w:cs="Times New Roman"/>
          <w:szCs w:val="18"/>
        </w:rPr>
      </w:pPr>
      <w:r w:rsidRPr="002F663C">
        <w:rPr>
          <w:rFonts w:eastAsia="Calibri" w:cs="Times New Roman"/>
          <w:szCs w:val="18"/>
        </w:rPr>
        <w:t>The effective date of this rule is 6 February 2025. The amendments will be mandatory for product testing starting 7 July 2025. Manufacturers will be required to use the amended test procedure until the compliance date of any final rule establishing amended energy conservation standards based on the newly established test procedure. At such time, manufacturers will be required to begin using the newly established test procedure. The incorporation by reference of certain publications listed in this rule is approved by the Director of the Federal Register on 6 February 2025.</w:t>
      </w:r>
    </w:p>
    <w:p w14:paraId="3F88FE1A" w14:textId="77777777" w:rsidR="00B54357" w:rsidRPr="002F663C" w:rsidRDefault="00AE14C9" w:rsidP="00B16ACF">
      <w:pPr>
        <w:spacing w:before="120" w:after="120"/>
        <w:rPr>
          <w:rFonts w:eastAsia="Calibri" w:cs="Times New Roman"/>
          <w:szCs w:val="18"/>
        </w:rPr>
      </w:pPr>
      <w:r w:rsidRPr="002F663C">
        <w:rPr>
          <w:rFonts w:eastAsia="Calibri" w:cs="Times New Roman"/>
          <w:szCs w:val="18"/>
        </w:rPr>
        <w:t xml:space="preserve">90 Federal Register (FR) 1224; 7 January 2025; </w:t>
      </w:r>
      <w:hyperlink r:id="rId11" w:history="1">
        <w:r w:rsidRPr="002F663C">
          <w:rPr>
            <w:rFonts w:eastAsia="Calibri" w:cs="Times New Roman"/>
            <w:color w:val="0000FF"/>
            <w:szCs w:val="18"/>
            <w:u w:val="single"/>
          </w:rPr>
          <w:t>Title 10</w:t>
        </w:r>
      </w:hyperlink>
      <w:r w:rsidRPr="002F663C">
        <w:rPr>
          <w:rFonts w:eastAsia="Calibri" w:cs="Times New Roman"/>
          <w:szCs w:val="18"/>
        </w:rPr>
        <w:t xml:space="preserve"> Code of Federal Regulations (CFR) Parts </w:t>
      </w:r>
      <w:hyperlink r:id="rId12" w:history="1">
        <w:r w:rsidRPr="002F663C">
          <w:rPr>
            <w:rFonts w:eastAsia="Calibri" w:cs="Times New Roman"/>
            <w:color w:val="0000FF"/>
            <w:szCs w:val="18"/>
            <w:u w:val="single"/>
          </w:rPr>
          <w:t>429</w:t>
        </w:r>
      </w:hyperlink>
      <w:r w:rsidRPr="002F663C">
        <w:rPr>
          <w:rFonts w:eastAsia="Calibri" w:cs="Times New Roman"/>
          <w:szCs w:val="18"/>
        </w:rPr>
        <w:t xml:space="preserve"> and </w:t>
      </w:r>
      <w:hyperlink r:id="rId13" w:history="1">
        <w:r w:rsidRPr="002F663C">
          <w:rPr>
            <w:rFonts w:eastAsia="Calibri" w:cs="Times New Roman"/>
            <w:color w:val="0000FF"/>
            <w:szCs w:val="18"/>
            <w:u w:val="single"/>
          </w:rPr>
          <w:t>Part 430</w:t>
        </w:r>
      </w:hyperlink>
      <w:r w:rsidRPr="002F663C">
        <w:rPr>
          <w:rFonts w:eastAsia="Calibri" w:cs="Times New Roman"/>
          <w:szCs w:val="18"/>
        </w:rPr>
        <w:t>:</w:t>
      </w:r>
    </w:p>
    <w:p w14:paraId="05890789" w14:textId="77777777" w:rsidR="00B54357" w:rsidRPr="002F663C" w:rsidRDefault="00616535" w:rsidP="00B16ACF">
      <w:pPr>
        <w:spacing w:before="120" w:after="120"/>
        <w:rPr>
          <w:rFonts w:eastAsia="Calibri" w:cs="Times New Roman"/>
          <w:szCs w:val="18"/>
        </w:rPr>
      </w:pPr>
      <w:hyperlink r:id="rId14" w:history="1">
        <w:r w:rsidR="00AE14C9" w:rsidRPr="002F663C">
          <w:rPr>
            <w:rFonts w:eastAsia="Calibri" w:cs="Times New Roman"/>
            <w:color w:val="0000FF"/>
            <w:szCs w:val="18"/>
            <w:u w:val="single"/>
          </w:rPr>
          <w:t>https://www.govinfo.gov/content/pkg/FR-2025-01-07/html/2024-30852.htm</w:t>
        </w:r>
      </w:hyperlink>
    </w:p>
    <w:p w14:paraId="74F2CF4F" w14:textId="77777777" w:rsidR="00B54357" w:rsidRPr="002F663C" w:rsidRDefault="00616535" w:rsidP="00B16ACF">
      <w:pPr>
        <w:spacing w:before="120" w:after="120"/>
        <w:rPr>
          <w:rFonts w:eastAsia="Calibri" w:cs="Times New Roman"/>
          <w:szCs w:val="18"/>
        </w:rPr>
      </w:pPr>
      <w:hyperlink r:id="rId15" w:history="1">
        <w:r w:rsidR="00AE14C9" w:rsidRPr="002F663C">
          <w:rPr>
            <w:rFonts w:eastAsia="Calibri" w:cs="Times New Roman"/>
            <w:color w:val="0000FF"/>
            <w:szCs w:val="18"/>
            <w:u w:val="single"/>
          </w:rPr>
          <w:t>https://www.govinfo.gov/content/pkg/FR-2025-01-07/pdf/2024-30852.pdf</w:t>
        </w:r>
      </w:hyperlink>
    </w:p>
    <w:p w14:paraId="220800EA" w14:textId="77777777" w:rsidR="00B54357" w:rsidRPr="002F663C" w:rsidRDefault="00AE14C9" w:rsidP="00B16ACF">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6" w:history="1">
        <w:r w:rsidRPr="002F663C">
          <w:rPr>
            <w:rFonts w:eastAsia="Calibri" w:cs="Times New Roman"/>
            <w:color w:val="0000FF"/>
            <w:szCs w:val="18"/>
            <w:u w:val="single"/>
          </w:rPr>
          <w:t>G/TBT/N/USA/552/Rev.3</w:t>
        </w:r>
      </w:hyperlink>
      <w:r w:rsidRPr="002F663C">
        <w:rPr>
          <w:rFonts w:eastAsia="Calibri" w:cs="Times New Roman"/>
          <w:szCs w:val="18"/>
        </w:rPr>
        <w:t xml:space="preserve"> are identified by Docket Number EERE-2022-BT-TP-0028. The Docket Folder is available from Regulations.gov at </w:t>
      </w:r>
      <w:hyperlink r:id="rId17" w:history="1">
        <w:r w:rsidRPr="002F663C">
          <w:rPr>
            <w:rFonts w:eastAsia="Calibri" w:cs="Times New Roman"/>
            <w:color w:val="0000FF"/>
            <w:szCs w:val="18"/>
            <w:u w:val="single"/>
          </w:rPr>
          <w:t>https://www.regulations.gov/docket/EERE-2022-BT-TP-0028/document</w:t>
        </w:r>
      </w:hyperlink>
      <w:r w:rsidRPr="002F663C">
        <w:rPr>
          <w:rFonts w:eastAsia="Calibri" w:cs="Times New Roman"/>
          <w:szCs w:val="18"/>
        </w:rPr>
        <w:t xml:space="preserve"> and provides access to primary and supporting documents as well as comments received. Documents are also accessible from </w:t>
      </w:r>
      <w:hyperlink r:id="rId18"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2817C430" w14:textId="77777777" w:rsidR="006C5A96" w:rsidRDefault="00AE14C9" w:rsidP="006C5A96">
      <w:pPr>
        <w:jc w:val="center"/>
        <w:rPr>
          <w:b/>
        </w:rPr>
      </w:pPr>
      <w:r w:rsidRPr="003971FF">
        <w:rPr>
          <w:b/>
        </w:rPr>
        <w:t>__________</w:t>
      </w:r>
    </w:p>
    <w:p w14:paraId="32CE1B3D" w14:textId="77777777" w:rsidR="004D4D19" w:rsidRDefault="004D4D19" w:rsidP="007F38C2">
      <w:pPr>
        <w:jc w:val="center"/>
        <w:rPr>
          <w:b/>
        </w:rPr>
      </w:pPr>
    </w:p>
    <w:p w14:paraId="27F7B6AC" w14:textId="77777777" w:rsidR="00A1565D" w:rsidRDefault="00A1565D" w:rsidP="003971FF">
      <w:pPr>
        <w:jc w:val="center"/>
        <w:rPr>
          <w:b/>
        </w:rPr>
      </w:pPr>
    </w:p>
    <w:sectPr w:rsidR="00A1565D" w:rsidSect="006C5A96">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E5F38" w14:textId="77777777" w:rsidR="00AE14C9" w:rsidRDefault="00AE14C9">
      <w:r>
        <w:separator/>
      </w:r>
    </w:p>
  </w:endnote>
  <w:endnote w:type="continuationSeparator" w:id="0">
    <w:p w14:paraId="0EB731AD" w14:textId="77777777" w:rsidR="00AE14C9" w:rsidRDefault="00AE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0065" w14:textId="77777777" w:rsidR="00544326" w:rsidRPr="00DD3DD7" w:rsidRDefault="00AE14C9"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CFD1" w14:textId="77777777" w:rsidR="00544326" w:rsidRPr="00DD3DD7" w:rsidRDefault="00AE14C9"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4655" w14:textId="77777777" w:rsidR="00AE14C9" w:rsidRDefault="00AE1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3E75" w14:textId="77777777" w:rsidR="004D3A6A" w:rsidRDefault="00AE14C9" w:rsidP="00ED54E0">
      <w:r>
        <w:separator/>
      </w:r>
    </w:p>
  </w:footnote>
  <w:footnote w:type="continuationSeparator" w:id="0">
    <w:p w14:paraId="5DE2F7BC" w14:textId="77777777" w:rsidR="004D3A6A" w:rsidRDefault="00AE14C9" w:rsidP="00ED54E0">
      <w:r>
        <w:continuationSeparator/>
      </w:r>
    </w:p>
  </w:footnote>
  <w:footnote w:id="1">
    <w:p w14:paraId="6DD4F422" w14:textId="77777777" w:rsidR="007F6EA2" w:rsidRDefault="00AE14C9">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C402" w14:textId="77777777" w:rsidR="00DD3DD7" w:rsidRDefault="00AE14C9"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1DC74BCF" w14:textId="77777777" w:rsidR="004D4D19" w:rsidRPr="00DD3DD7" w:rsidRDefault="004D4D19" w:rsidP="00DD3DD7">
    <w:pPr>
      <w:pStyle w:val="Header"/>
      <w:pBdr>
        <w:bottom w:val="single" w:sz="4" w:space="1" w:color="auto"/>
      </w:pBdr>
      <w:tabs>
        <w:tab w:val="clear" w:pos="4513"/>
        <w:tab w:val="clear" w:pos="9027"/>
      </w:tabs>
      <w:jc w:val="center"/>
    </w:pPr>
  </w:p>
  <w:p w14:paraId="01B3F7D4" w14:textId="77777777" w:rsidR="00DD3DD7" w:rsidRPr="00DD3DD7" w:rsidRDefault="00AE14C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0373942"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F163" w14:textId="77777777" w:rsidR="00DD3DD7" w:rsidRPr="00DD3DD7" w:rsidRDefault="00AE14C9" w:rsidP="00DD3DD7">
    <w:pPr>
      <w:pStyle w:val="Header"/>
      <w:pBdr>
        <w:bottom w:val="single" w:sz="4" w:space="1" w:color="auto"/>
      </w:pBdr>
      <w:tabs>
        <w:tab w:val="clear" w:pos="4513"/>
        <w:tab w:val="clear" w:pos="9027"/>
      </w:tabs>
      <w:jc w:val="center"/>
    </w:pPr>
    <w:bookmarkStart w:id="3" w:name="spsSymbolHeader"/>
    <w:r w:rsidRPr="00DD3DD7">
      <w:t>G/TBT/N/USA/552/Rev.3/Add.1</w:t>
    </w:r>
    <w:bookmarkEnd w:id="3"/>
  </w:p>
  <w:p w14:paraId="01BC44FA" w14:textId="77777777" w:rsidR="00DD3DD7" w:rsidRPr="00DD3DD7" w:rsidRDefault="00DD3DD7" w:rsidP="00DD3DD7">
    <w:pPr>
      <w:pStyle w:val="Header"/>
      <w:pBdr>
        <w:bottom w:val="single" w:sz="4" w:space="1" w:color="auto"/>
      </w:pBdr>
      <w:tabs>
        <w:tab w:val="clear" w:pos="4513"/>
        <w:tab w:val="clear" w:pos="9027"/>
      </w:tabs>
      <w:jc w:val="center"/>
    </w:pPr>
  </w:p>
  <w:p w14:paraId="2EAECE6A" w14:textId="77777777" w:rsidR="00DD3DD7" w:rsidRPr="00DD3DD7" w:rsidRDefault="00AE14C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33176B4"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07F89" w14:paraId="2ACC1E0B" w14:textId="77777777" w:rsidTr="00544326">
      <w:trPr>
        <w:trHeight w:val="240"/>
        <w:jc w:val="center"/>
      </w:trPr>
      <w:tc>
        <w:tcPr>
          <w:tcW w:w="3794" w:type="dxa"/>
          <w:shd w:val="clear" w:color="auto" w:fill="FFFFFF"/>
          <w:tcMar>
            <w:left w:w="108" w:type="dxa"/>
            <w:right w:w="108" w:type="dxa"/>
          </w:tcMar>
          <w:vAlign w:val="center"/>
        </w:tcPr>
        <w:p w14:paraId="03537E5D"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5236AFC" w14:textId="77777777" w:rsidR="00ED54E0" w:rsidRPr="00182B84" w:rsidRDefault="00AE14C9" w:rsidP="00425DC5">
          <w:pPr>
            <w:jc w:val="right"/>
            <w:rPr>
              <w:b/>
              <w:color w:val="FF0000"/>
              <w:szCs w:val="16"/>
            </w:rPr>
          </w:pPr>
          <w:r>
            <w:rPr>
              <w:b/>
              <w:color w:val="FF0000"/>
              <w:szCs w:val="16"/>
            </w:rPr>
            <w:t xml:space="preserve"> </w:t>
          </w:r>
        </w:p>
      </w:tc>
    </w:tr>
    <w:tr w:rsidR="00D07F89" w14:paraId="2A5B8978" w14:textId="77777777" w:rsidTr="00544326">
      <w:trPr>
        <w:trHeight w:val="213"/>
        <w:jc w:val="center"/>
      </w:trPr>
      <w:tc>
        <w:tcPr>
          <w:tcW w:w="3794" w:type="dxa"/>
          <w:vMerge w:val="restart"/>
          <w:shd w:val="clear" w:color="auto" w:fill="FFFFFF"/>
          <w:tcMar>
            <w:left w:w="0" w:type="dxa"/>
            <w:right w:w="0" w:type="dxa"/>
          </w:tcMar>
        </w:tcPr>
        <w:p w14:paraId="73A943F7" w14:textId="77777777" w:rsidR="00ED54E0" w:rsidRPr="00182B84" w:rsidRDefault="00AE14C9" w:rsidP="00425DC5">
          <w:pPr>
            <w:jc w:val="left"/>
          </w:pPr>
          <w:r w:rsidRPr="00182B84">
            <w:rPr>
              <w:noProof/>
              <w:lang w:val="en-US"/>
            </w:rPr>
            <w:drawing>
              <wp:inline distT="0" distB="0" distL="0" distR="0" wp14:anchorId="003084FC" wp14:editId="606A6C98">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40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A14EDF" w14:textId="77777777" w:rsidR="00ED54E0" w:rsidRPr="00182B84" w:rsidRDefault="00ED54E0" w:rsidP="00425DC5">
          <w:pPr>
            <w:jc w:val="right"/>
            <w:rPr>
              <w:b/>
              <w:szCs w:val="16"/>
            </w:rPr>
          </w:pPr>
        </w:p>
      </w:tc>
    </w:tr>
    <w:tr w:rsidR="00D07F89" w14:paraId="46E84311" w14:textId="77777777" w:rsidTr="00544326">
      <w:trPr>
        <w:trHeight w:val="868"/>
        <w:jc w:val="center"/>
      </w:trPr>
      <w:tc>
        <w:tcPr>
          <w:tcW w:w="3794" w:type="dxa"/>
          <w:vMerge/>
          <w:shd w:val="clear" w:color="auto" w:fill="FFFFFF"/>
          <w:tcMar>
            <w:left w:w="108" w:type="dxa"/>
            <w:right w:w="108" w:type="dxa"/>
          </w:tcMar>
        </w:tcPr>
        <w:p w14:paraId="14B58CE0"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3EA1D68" w14:textId="77777777" w:rsidR="00DD3DD7" w:rsidRPr="002F663C" w:rsidRDefault="00AE14C9" w:rsidP="00DD3DD7">
          <w:pPr>
            <w:jc w:val="right"/>
            <w:rPr>
              <w:rFonts w:eastAsia="Calibri" w:cs="Times New Roman"/>
              <w:b/>
              <w:szCs w:val="16"/>
            </w:rPr>
          </w:pPr>
          <w:bookmarkStart w:id="4" w:name="bmkSymbols"/>
          <w:r w:rsidRPr="002F663C">
            <w:rPr>
              <w:rFonts w:eastAsia="Calibri" w:cs="Times New Roman"/>
              <w:b/>
              <w:szCs w:val="16"/>
            </w:rPr>
            <w:t>G/TBT/N/USA/552/Rev.3/Add.1</w:t>
          </w:r>
          <w:bookmarkEnd w:id="4"/>
        </w:p>
        <w:p w14:paraId="1776E2D2" w14:textId="77777777" w:rsidR="00C14444" w:rsidRPr="00C14444" w:rsidRDefault="00C14444" w:rsidP="00C14444">
          <w:pPr>
            <w:jc w:val="center"/>
            <w:rPr>
              <w:szCs w:val="16"/>
            </w:rPr>
          </w:pPr>
        </w:p>
      </w:tc>
    </w:tr>
    <w:tr w:rsidR="00D07F89" w14:paraId="69087120" w14:textId="77777777" w:rsidTr="00544326">
      <w:trPr>
        <w:trHeight w:val="240"/>
        <w:jc w:val="center"/>
      </w:trPr>
      <w:tc>
        <w:tcPr>
          <w:tcW w:w="3794" w:type="dxa"/>
          <w:vMerge/>
          <w:shd w:val="clear" w:color="auto" w:fill="FFFFFF"/>
          <w:tcMar>
            <w:left w:w="108" w:type="dxa"/>
            <w:right w:w="108" w:type="dxa"/>
          </w:tcMar>
          <w:vAlign w:val="center"/>
        </w:tcPr>
        <w:p w14:paraId="5761C688" w14:textId="77777777" w:rsidR="00ED54E0" w:rsidRPr="00182B84" w:rsidRDefault="00ED54E0" w:rsidP="00425DC5"/>
      </w:tc>
      <w:tc>
        <w:tcPr>
          <w:tcW w:w="5448" w:type="dxa"/>
          <w:gridSpan w:val="2"/>
          <w:shd w:val="clear" w:color="auto" w:fill="FFFFFF"/>
          <w:tcMar>
            <w:left w:w="108" w:type="dxa"/>
            <w:right w:w="108" w:type="dxa"/>
          </w:tcMar>
          <w:vAlign w:val="center"/>
        </w:tcPr>
        <w:p w14:paraId="5D0A23B3" w14:textId="2D86A856" w:rsidR="00ED54E0" w:rsidRPr="00182B84" w:rsidRDefault="00AE14C9" w:rsidP="00425DC5">
          <w:pPr>
            <w:jc w:val="right"/>
            <w:rPr>
              <w:szCs w:val="16"/>
            </w:rPr>
          </w:pPr>
          <w:bookmarkStart w:id="5" w:name="bmkDate"/>
          <w:bookmarkEnd w:id="5"/>
          <w:r>
            <w:rPr>
              <w:szCs w:val="16"/>
            </w:rPr>
            <w:t>9 January 2025</w:t>
          </w:r>
        </w:p>
      </w:tc>
    </w:tr>
    <w:tr w:rsidR="00D07F89" w14:paraId="711A12D3"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3E8D66F" w14:textId="49A4B7A4" w:rsidR="00ED54E0" w:rsidRPr="00182B84" w:rsidRDefault="00AE14C9"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5D03AD">
            <w:rPr>
              <w:rFonts w:eastAsia="Calibri" w:cs="Times New Roman"/>
              <w:color w:val="FF0000"/>
              <w:szCs w:val="16"/>
            </w:rPr>
            <w:t>0209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67712D4" w14:textId="77777777" w:rsidR="00ED54E0" w:rsidRPr="00182B84" w:rsidRDefault="00AE14C9"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D07F89" w14:paraId="22780444"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0511141" w14:textId="77777777" w:rsidR="00ED54E0" w:rsidRPr="00182B84" w:rsidRDefault="00AE14C9"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10FB3F9" w14:textId="77777777" w:rsidR="00ED54E0" w:rsidRPr="00182B84" w:rsidRDefault="00AE14C9"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71487001"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CE46D1C">
      <w:start w:val="1"/>
      <w:numFmt w:val="decimal"/>
      <w:pStyle w:val="SummaryText"/>
      <w:lvlText w:val="%1."/>
      <w:lvlJc w:val="left"/>
      <w:pPr>
        <w:ind w:left="360" w:hanging="360"/>
      </w:pPr>
    </w:lvl>
    <w:lvl w:ilvl="1" w:tplc="4FEECC54" w:tentative="1">
      <w:start w:val="1"/>
      <w:numFmt w:val="lowerLetter"/>
      <w:lvlText w:val="%2."/>
      <w:lvlJc w:val="left"/>
      <w:pPr>
        <w:ind w:left="1080" w:hanging="360"/>
      </w:pPr>
    </w:lvl>
    <w:lvl w:ilvl="2" w:tplc="7004C186" w:tentative="1">
      <w:start w:val="1"/>
      <w:numFmt w:val="lowerRoman"/>
      <w:lvlText w:val="%3."/>
      <w:lvlJc w:val="right"/>
      <w:pPr>
        <w:ind w:left="1800" w:hanging="180"/>
      </w:pPr>
    </w:lvl>
    <w:lvl w:ilvl="3" w:tplc="D37CBFAA" w:tentative="1">
      <w:start w:val="1"/>
      <w:numFmt w:val="decimal"/>
      <w:lvlText w:val="%4."/>
      <w:lvlJc w:val="left"/>
      <w:pPr>
        <w:ind w:left="2520" w:hanging="360"/>
      </w:pPr>
    </w:lvl>
    <w:lvl w:ilvl="4" w:tplc="89949B4C" w:tentative="1">
      <w:start w:val="1"/>
      <w:numFmt w:val="lowerLetter"/>
      <w:lvlText w:val="%5."/>
      <w:lvlJc w:val="left"/>
      <w:pPr>
        <w:ind w:left="3240" w:hanging="360"/>
      </w:pPr>
    </w:lvl>
    <w:lvl w:ilvl="5" w:tplc="272620B4" w:tentative="1">
      <w:start w:val="1"/>
      <w:numFmt w:val="lowerRoman"/>
      <w:lvlText w:val="%6."/>
      <w:lvlJc w:val="right"/>
      <w:pPr>
        <w:ind w:left="3960" w:hanging="180"/>
      </w:pPr>
    </w:lvl>
    <w:lvl w:ilvl="6" w:tplc="1460F654" w:tentative="1">
      <w:start w:val="1"/>
      <w:numFmt w:val="decimal"/>
      <w:lvlText w:val="%7."/>
      <w:lvlJc w:val="left"/>
      <w:pPr>
        <w:ind w:left="4680" w:hanging="360"/>
      </w:pPr>
    </w:lvl>
    <w:lvl w:ilvl="7" w:tplc="99389A74" w:tentative="1">
      <w:start w:val="1"/>
      <w:numFmt w:val="lowerLetter"/>
      <w:lvlText w:val="%8."/>
      <w:lvlJc w:val="left"/>
      <w:pPr>
        <w:ind w:left="5400" w:hanging="360"/>
      </w:pPr>
    </w:lvl>
    <w:lvl w:ilvl="8" w:tplc="0066B876" w:tentative="1">
      <w:start w:val="1"/>
      <w:numFmt w:val="lowerRoman"/>
      <w:lvlText w:val="%9."/>
      <w:lvlJc w:val="right"/>
      <w:pPr>
        <w:ind w:left="6120" w:hanging="180"/>
      </w:pPr>
    </w:lvl>
  </w:abstractNum>
  <w:num w:numId="1" w16cid:durableId="1664353756">
    <w:abstractNumId w:val="9"/>
  </w:num>
  <w:num w:numId="2" w16cid:durableId="1604534672">
    <w:abstractNumId w:val="7"/>
  </w:num>
  <w:num w:numId="3" w16cid:durableId="81725769">
    <w:abstractNumId w:val="6"/>
  </w:num>
  <w:num w:numId="4" w16cid:durableId="1444306249">
    <w:abstractNumId w:val="5"/>
  </w:num>
  <w:num w:numId="5" w16cid:durableId="597522255">
    <w:abstractNumId w:val="4"/>
  </w:num>
  <w:num w:numId="6" w16cid:durableId="1680430899">
    <w:abstractNumId w:val="12"/>
  </w:num>
  <w:num w:numId="7" w16cid:durableId="82653413">
    <w:abstractNumId w:val="11"/>
  </w:num>
  <w:num w:numId="8" w16cid:durableId="486360094">
    <w:abstractNumId w:val="10"/>
  </w:num>
  <w:num w:numId="9" w16cid:durableId="648363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0651440">
    <w:abstractNumId w:val="13"/>
  </w:num>
  <w:num w:numId="11" w16cid:durableId="61146800">
    <w:abstractNumId w:val="8"/>
  </w:num>
  <w:num w:numId="12" w16cid:durableId="648823676">
    <w:abstractNumId w:val="3"/>
  </w:num>
  <w:num w:numId="13" w16cid:durableId="615715815">
    <w:abstractNumId w:val="2"/>
  </w:num>
  <w:num w:numId="14" w16cid:durableId="1496148145">
    <w:abstractNumId w:val="1"/>
  </w:num>
  <w:num w:numId="15" w16cid:durableId="1795441250">
    <w:abstractNumId w:val="0"/>
  </w:num>
  <w:num w:numId="16" w16cid:durableId="14065529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03AD"/>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07FF"/>
    <w:rsid w:val="00AC27F8"/>
    <w:rsid w:val="00AD3047"/>
    <w:rsid w:val="00AD4C72"/>
    <w:rsid w:val="00AD55DF"/>
    <w:rsid w:val="00AE14C9"/>
    <w:rsid w:val="00AE2AEE"/>
    <w:rsid w:val="00AE568A"/>
    <w:rsid w:val="00B00276"/>
    <w:rsid w:val="00B053E7"/>
    <w:rsid w:val="00B16ACF"/>
    <w:rsid w:val="00B17BD8"/>
    <w:rsid w:val="00B230EC"/>
    <w:rsid w:val="00B27953"/>
    <w:rsid w:val="00B41614"/>
    <w:rsid w:val="00B52738"/>
    <w:rsid w:val="00B54357"/>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07F89"/>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B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10/chapter-II/subchapter-D/part-430" TargetMode="External"/><Relationship Id="rId18" Type="http://schemas.openxmlformats.org/officeDocument/2006/relationships/hyperlink" Target="http://www.regulations.gov/"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ecfr.gov/current/title-10/chapter-II/subchapter-D/part-429" TargetMode="External"/><Relationship Id="rId17" Type="http://schemas.openxmlformats.org/officeDocument/2006/relationships/hyperlink" Target="https://www.regulations.gov/docket/EERE-2022-BT-TP-0028/docume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ping.wto.org/en/Search?domainIds=1&amp;documentSymbol=usa%2F552%2Frev.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10"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govinfo.gov/content/pkg/FR-2025-01-07/pdf/2024-30852.pdf" TargetMode="External"/><Relationship Id="rId23" Type="http://schemas.openxmlformats.org/officeDocument/2006/relationships/header" Target="header3.xml"/><Relationship Id="rId10" Type="http://schemas.openxmlformats.org/officeDocument/2006/relationships/hyperlink" Target="https://www.energy.gov/eere/buildings/consumer-central-air-conditioners-and-heat-pump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members.wto.org/crnattachments/2025/TBT/USA/final_measure/25_00367_00_e.pdf" TargetMode="External"/><Relationship Id="rId14" Type="http://schemas.openxmlformats.org/officeDocument/2006/relationships/hyperlink" Target="https://www.govinfo.gov/content/pkg/FR-2025-01-07/html/2024-30852.htm"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23FEF-D977-4F66-B62D-5231DC1D4A97}">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544</Words>
  <Characters>3346</Characters>
  <Application>Microsoft Office Word</Application>
  <DocSecurity>0</DocSecurity>
  <Lines>70</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2025-01-08T16:02:00Z</dcterms:created>
  <dcterms:modified xsi:type="dcterms:W3CDTF">2025-01-09T08:01:00Z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