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614EA" w14:textId="77777777" w:rsidR="002D78C9" w:rsidRDefault="0084583F" w:rsidP="00DD3DD7">
      <w:pPr>
        <w:pStyle w:val="Title"/>
      </w:pPr>
      <w:r w:rsidRPr="002F663C">
        <w:t>NOTIFICATION</w:t>
      </w:r>
    </w:p>
    <w:p w14:paraId="037D2602" w14:textId="77777777" w:rsidR="002F663C" w:rsidRPr="002F663C" w:rsidRDefault="0084583F" w:rsidP="00DD3DD7">
      <w:pPr>
        <w:pStyle w:val="Title3"/>
      </w:pPr>
      <w:r w:rsidRPr="002F663C">
        <w:t>Addendum</w:t>
      </w:r>
    </w:p>
    <w:p w14:paraId="7327DBC3" w14:textId="77777777" w:rsidR="002F663C" w:rsidRDefault="0084583F"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9 January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14:paraId="5B26BB27" w14:textId="77777777" w:rsidR="001E2E4A" w:rsidRPr="002F663C" w:rsidRDefault="001E2E4A" w:rsidP="001E2E4A">
      <w:pPr>
        <w:rPr>
          <w:rFonts w:eastAsia="Calibri" w:cs="Times New Roman"/>
        </w:rPr>
      </w:pPr>
    </w:p>
    <w:p w14:paraId="77E6B5FC" w14:textId="77777777" w:rsidR="002F663C" w:rsidRPr="002F663C" w:rsidRDefault="0084583F" w:rsidP="002F663C">
      <w:pPr>
        <w:jc w:val="center"/>
        <w:rPr>
          <w:rFonts w:eastAsia="Calibri" w:cs="Times New Roman"/>
          <w:b/>
        </w:rPr>
      </w:pPr>
      <w:r w:rsidRPr="002F663C">
        <w:rPr>
          <w:rFonts w:eastAsia="Calibri" w:cs="Times New Roman"/>
          <w:b/>
        </w:rPr>
        <w:t>_______________</w:t>
      </w:r>
    </w:p>
    <w:p w14:paraId="68E0772F" w14:textId="77777777" w:rsidR="002F663C" w:rsidRDefault="002F663C" w:rsidP="002F663C">
      <w:pPr>
        <w:rPr>
          <w:rFonts w:eastAsia="Calibri" w:cs="Times New Roman"/>
        </w:rPr>
      </w:pPr>
    </w:p>
    <w:p w14:paraId="064942FC" w14:textId="77777777" w:rsidR="00C14444" w:rsidRPr="002F663C" w:rsidRDefault="00C14444" w:rsidP="002F663C">
      <w:pPr>
        <w:rPr>
          <w:rFonts w:eastAsia="Calibri" w:cs="Times New Roman"/>
        </w:rPr>
      </w:pPr>
    </w:p>
    <w:p w14:paraId="439B6928" w14:textId="77777777" w:rsidR="002F663C" w:rsidRPr="002F663C" w:rsidRDefault="0084583F"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Heavy-Duty Engine and Vehicle Omnibus Rule Update (Oregon)</w:t>
      </w:r>
    </w:p>
    <w:p w14:paraId="3C1DF26E"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8833CB" w14:paraId="2E283B6E"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63EA4A10" w14:textId="77777777" w:rsidR="002F663C" w:rsidRPr="002F663C" w:rsidRDefault="0084583F"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8833CB" w14:paraId="1671219E" w14:textId="77777777" w:rsidTr="00E9471B">
        <w:tc>
          <w:tcPr>
            <w:tcW w:w="851" w:type="dxa"/>
            <w:shd w:val="clear" w:color="auto" w:fill="auto"/>
          </w:tcPr>
          <w:p w14:paraId="587CA8DA" w14:textId="77777777" w:rsidR="002F663C" w:rsidRPr="00711F9C" w:rsidRDefault="0084583F"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41668E62" w14:textId="77777777" w:rsidR="002F663C" w:rsidRPr="002F663C" w:rsidRDefault="0084583F"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rsidR="008833CB" w14:paraId="3CBB36B0" w14:textId="77777777" w:rsidTr="00E9471B">
        <w:tc>
          <w:tcPr>
            <w:tcW w:w="851" w:type="dxa"/>
            <w:shd w:val="clear" w:color="auto" w:fill="auto"/>
          </w:tcPr>
          <w:p w14:paraId="0D235FFA" w14:textId="77777777" w:rsidR="002F663C" w:rsidRPr="00711F9C" w:rsidRDefault="0084583F"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2125A86E" w14:textId="77777777" w:rsidR="002F663C" w:rsidRPr="002F663C" w:rsidRDefault="0084583F"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rsidR="008833CB" w14:paraId="1979AED6" w14:textId="77777777" w:rsidTr="00E9471B">
        <w:tc>
          <w:tcPr>
            <w:tcW w:w="851" w:type="dxa"/>
            <w:shd w:val="clear" w:color="auto" w:fill="auto"/>
          </w:tcPr>
          <w:p w14:paraId="752DD6A6" w14:textId="77777777" w:rsidR="002F663C" w:rsidRPr="00711F9C" w:rsidRDefault="0084583F"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7A90A0E7" w14:textId="77777777" w:rsidR="002F663C" w:rsidRPr="002F663C" w:rsidRDefault="0084583F"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rsidR="008833CB" w14:paraId="6719AAE1" w14:textId="77777777" w:rsidTr="00E9471B">
        <w:tc>
          <w:tcPr>
            <w:tcW w:w="851" w:type="dxa"/>
            <w:shd w:val="clear" w:color="auto" w:fill="auto"/>
          </w:tcPr>
          <w:p w14:paraId="6C351763" w14:textId="77777777" w:rsidR="002F663C" w:rsidRPr="00711F9C" w:rsidRDefault="0084583F"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4BCF3464" w14:textId="77777777" w:rsidR="002F663C" w:rsidRPr="002F663C" w:rsidRDefault="0084583F"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rsidR="008833CB" w14:paraId="47C08D13" w14:textId="77777777" w:rsidTr="00E9471B">
        <w:tc>
          <w:tcPr>
            <w:tcW w:w="851" w:type="dxa"/>
            <w:shd w:val="clear" w:color="auto" w:fill="auto"/>
          </w:tcPr>
          <w:p w14:paraId="5EBD6FAD" w14:textId="77777777" w:rsidR="002F663C" w:rsidRPr="00711F9C" w:rsidRDefault="0084583F"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247215F1" w14:textId="77777777" w:rsidR="002F663C" w:rsidRPr="002F663C" w:rsidRDefault="0084583F" w:rsidP="00EB7B40">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1"/>
            </w:r>
            <w:bookmarkEnd w:id="1"/>
            <w:r w:rsidRPr="002F663C">
              <w:rPr>
                <w:rFonts w:eastAsia="Calibri" w:cs="Times New Roman"/>
              </w:rPr>
              <w:t xml:space="preserve">: </w:t>
            </w:r>
          </w:p>
        </w:tc>
      </w:tr>
      <w:tr w:rsidR="008833CB" w14:paraId="6781EBB1" w14:textId="77777777" w:rsidTr="00E9471B">
        <w:tc>
          <w:tcPr>
            <w:tcW w:w="851" w:type="dxa"/>
            <w:shd w:val="clear" w:color="auto" w:fill="auto"/>
          </w:tcPr>
          <w:p w14:paraId="40F0F987" w14:textId="77777777" w:rsidR="002F663C" w:rsidRPr="00711F9C" w:rsidRDefault="0084583F"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77A191E5" w14:textId="77777777" w:rsidR="002F663C" w:rsidRPr="002F663C" w:rsidRDefault="0084583F"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0C6706F0" w14:textId="77777777" w:rsidR="002F663C" w:rsidRPr="002F663C" w:rsidRDefault="0084583F"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8833CB" w14:paraId="4D5B2715" w14:textId="77777777" w:rsidTr="00E9471B">
        <w:tc>
          <w:tcPr>
            <w:tcW w:w="851" w:type="dxa"/>
            <w:shd w:val="clear" w:color="auto" w:fill="auto"/>
          </w:tcPr>
          <w:p w14:paraId="7E3BE294" w14:textId="77777777" w:rsidR="002F663C" w:rsidRPr="00711F9C" w:rsidRDefault="0084583F"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5A703C94" w14:textId="77777777" w:rsidR="002F663C" w:rsidRPr="002F663C" w:rsidRDefault="0084583F"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1ED0DA80" w14:textId="77777777" w:rsidR="002F663C" w:rsidRPr="002F663C" w:rsidRDefault="0084583F"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rsidR="008833CB" w14:paraId="78A1D32F" w14:textId="77777777" w:rsidTr="00E9471B">
        <w:tc>
          <w:tcPr>
            <w:tcW w:w="851" w:type="dxa"/>
            <w:shd w:val="clear" w:color="auto" w:fill="auto"/>
          </w:tcPr>
          <w:p w14:paraId="3CF72E84" w14:textId="77777777" w:rsidR="002F663C" w:rsidRPr="00711F9C" w:rsidRDefault="0084583F"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71C04847" w14:textId="77777777" w:rsidR="002F663C" w:rsidRPr="002F663C" w:rsidRDefault="0084583F"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8833CB" w14:paraId="0AC5D046" w14:textId="77777777" w:rsidTr="00E9471B">
        <w:tc>
          <w:tcPr>
            <w:tcW w:w="851" w:type="dxa"/>
            <w:tcBorders>
              <w:bottom w:val="double" w:sz="4" w:space="0" w:color="auto"/>
            </w:tcBorders>
            <w:shd w:val="clear" w:color="auto" w:fill="auto"/>
          </w:tcPr>
          <w:p w14:paraId="732FBAF7" w14:textId="77777777" w:rsidR="002F663C" w:rsidRPr="00711F9C" w:rsidRDefault="0084583F" w:rsidP="00C14444">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shd w:val="clear" w:color="auto" w:fill="auto"/>
          </w:tcPr>
          <w:p w14:paraId="0924908B" w14:textId="77777777" w:rsidR="002F663C" w:rsidRPr="002F663C" w:rsidRDefault="0084583F" w:rsidP="00EB7B40">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14:paraId="5AC9CCE2" w14:textId="77777777" w:rsidR="00467A46" w:rsidRDefault="0084583F" w:rsidP="00EB7B40">
            <w:pPr>
              <w:spacing w:before="120" w:after="120"/>
              <w:rPr>
                <w:rFonts w:eastAsia="Calibri" w:cs="Times New Roman"/>
              </w:rPr>
            </w:pPr>
            <w:r>
              <w:rPr>
                <w:rFonts w:eastAsia="Calibri" w:cs="Times New Roman"/>
              </w:rPr>
              <w:t>Availability of additional details on Oregon's Advanced Clean Trucks Rule, including delay in implementation of new tailpipe emission standards for heavy-duty trucks and addition of other flexibilities.</w:t>
            </w:r>
          </w:p>
        </w:tc>
      </w:tr>
      <w:bookmarkEnd w:id="0"/>
    </w:tbl>
    <w:p w14:paraId="61D3BC8F" w14:textId="77777777" w:rsidR="002F663C" w:rsidRPr="002F663C" w:rsidRDefault="002F663C" w:rsidP="002F663C">
      <w:pPr>
        <w:jc w:val="left"/>
        <w:rPr>
          <w:rFonts w:eastAsia="Calibri" w:cs="Times New Roman"/>
          <w:highlight w:val="yellow"/>
        </w:rPr>
      </w:pPr>
    </w:p>
    <w:p w14:paraId="12F59D75" w14:textId="77777777" w:rsidR="003971FF" w:rsidRPr="007F6EA2" w:rsidRDefault="0084583F"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Oregon's </w:t>
      </w:r>
      <w:hyperlink r:id="rId9" w:history="1">
        <w:r w:rsidRPr="002F663C">
          <w:rPr>
            <w:rFonts w:eastAsia="Calibri" w:cs="Times New Roman"/>
            <w:color w:val="0000FF"/>
            <w:szCs w:val="18"/>
            <w:u w:val="single"/>
          </w:rPr>
          <w:t>Advanced Clean Trucks (ACT) Rule</w:t>
        </w:r>
      </w:hyperlink>
      <w:r w:rsidRPr="002F663C">
        <w:rPr>
          <w:rFonts w:eastAsia="Calibri" w:cs="Times New Roman"/>
          <w:szCs w:val="18"/>
        </w:rPr>
        <w:t xml:space="preserve"> requires manufacturers to gradually sell a greater percentage of medium- and heavy-duty zero-emission vehicles in the state each year, starting with the 2025 model year vehicles. </w:t>
      </w:r>
      <w:r w:rsidRPr="002F663C">
        <w:rPr>
          <w:rFonts w:eastAsia="Calibri" w:cs="Times New Roman"/>
          <w:b/>
          <w:bCs/>
          <w:szCs w:val="18"/>
        </w:rPr>
        <w:t>The rules do not ban the sale of new conventional diesel trucks, nor do they require dealers or businesses to purchase ZEV trucks.</w:t>
      </w:r>
    </w:p>
    <w:p w14:paraId="73A64D5E" w14:textId="77777777" w:rsidR="003D455B" w:rsidRPr="002F663C" w:rsidRDefault="0084583F" w:rsidP="00B16ACF">
      <w:pPr>
        <w:spacing w:before="120" w:after="120"/>
        <w:rPr>
          <w:rFonts w:eastAsia="Calibri" w:cs="Times New Roman"/>
          <w:szCs w:val="18"/>
        </w:rPr>
      </w:pPr>
      <w:r w:rsidRPr="002F663C">
        <w:rPr>
          <w:rFonts w:eastAsia="Calibri" w:cs="Times New Roman"/>
          <w:szCs w:val="18"/>
        </w:rPr>
        <w:t>On 21 November 2024, the Environmental Quality Commission adopted temporary rules to delay the implementation of new tailpipe emission standards for heavy-duty trucks, and to ease implementation of Oregon's ACT Rule, by adding additional flexibilities. The rule includes the following flexibilities:</w:t>
      </w:r>
    </w:p>
    <w:p w14:paraId="4DF3145F" w14:textId="77777777" w:rsidR="003D455B" w:rsidRPr="002F663C" w:rsidRDefault="0084583F" w:rsidP="00B16ACF">
      <w:pPr>
        <w:numPr>
          <w:ilvl w:val="0"/>
          <w:numId w:val="17"/>
        </w:numPr>
        <w:spacing w:before="120" w:after="120"/>
        <w:rPr>
          <w:rFonts w:eastAsia="Calibri" w:cs="Times New Roman"/>
          <w:szCs w:val="18"/>
        </w:rPr>
      </w:pPr>
      <w:r w:rsidRPr="002F663C">
        <w:rPr>
          <w:rFonts w:eastAsia="Calibri" w:cs="Times New Roman"/>
          <w:b/>
          <w:bCs/>
          <w:szCs w:val="18"/>
        </w:rPr>
        <w:t xml:space="preserve">Providing an additional three years to comply with initial sales targets: </w:t>
      </w:r>
      <w:r w:rsidRPr="002F663C">
        <w:rPr>
          <w:rFonts w:eastAsia="Calibri" w:cs="Times New Roman"/>
          <w:szCs w:val="18"/>
        </w:rPr>
        <w:t>Manufacturers will now have three additional years to comply with the first-year targets, with no penalty.</w:t>
      </w:r>
    </w:p>
    <w:p w14:paraId="016158DB" w14:textId="77777777" w:rsidR="003D455B" w:rsidRPr="002F663C" w:rsidRDefault="0084583F" w:rsidP="00B16ACF">
      <w:pPr>
        <w:numPr>
          <w:ilvl w:val="0"/>
          <w:numId w:val="17"/>
        </w:numPr>
        <w:spacing w:before="120" w:after="120"/>
        <w:rPr>
          <w:rFonts w:eastAsia="Calibri" w:cs="Times New Roman"/>
          <w:szCs w:val="18"/>
        </w:rPr>
      </w:pPr>
      <w:r w:rsidRPr="002F663C">
        <w:rPr>
          <w:rFonts w:eastAsia="Calibri" w:cs="Times New Roman"/>
          <w:b/>
          <w:bCs/>
          <w:szCs w:val="18"/>
        </w:rPr>
        <w:lastRenderedPageBreak/>
        <w:t xml:space="preserve">Adopting near zero-emission vehicles, like plug-in hybrid trucks: </w:t>
      </w:r>
      <w:r w:rsidRPr="002F663C">
        <w:rPr>
          <w:rFonts w:eastAsia="Calibri" w:cs="Times New Roman"/>
          <w:szCs w:val="18"/>
        </w:rPr>
        <w:t>Manufacturers will receive credit for the sales of plug-in hybrids, allowing for more vehicle types and routes to lower emissions.</w:t>
      </w:r>
    </w:p>
    <w:p w14:paraId="0E9A82F5" w14:textId="77777777" w:rsidR="003D455B" w:rsidRPr="002F663C" w:rsidRDefault="0084583F" w:rsidP="00B16ACF">
      <w:pPr>
        <w:numPr>
          <w:ilvl w:val="0"/>
          <w:numId w:val="17"/>
        </w:numPr>
        <w:spacing w:before="120" w:after="120"/>
        <w:rPr>
          <w:rFonts w:eastAsia="Calibri" w:cs="Times New Roman"/>
          <w:szCs w:val="18"/>
        </w:rPr>
      </w:pPr>
      <w:r w:rsidRPr="002F663C">
        <w:rPr>
          <w:rFonts w:eastAsia="Calibri" w:cs="Times New Roman"/>
          <w:b/>
          <w:bCs/>
          <w:szCs w:val="18"/>
        </w:rPr>
        <w:t xml:space="preserve">Using early action credits: </w:t>
      </w:r>
      <w:r w:rsidRPr="002F663C">
        <w:rPr>
          <w:rFonts w:eastAsia="Calibri" w:cs="Times New Roman"/>
          <w:szCs w:val="18"/>
        </w:rPr>
        <w:t>Manufacturers can generate and bank credits for ZEV sales of 2022-2024 model years, which can be used to comply with the standard when it takes effect. This incentivizes those who take action early to manufacture and sell ZEVs. Manufacturers have already generated over one thousand credits in advance of the regulation taking effect.</w:t>
      </w:r>
    </w:p>
    <w:p w14:paraId="589EA9BA" w14:textId="77777777" w:rsidR="003D455B" w:rsidRPr="002F663C" w:rsidRDefault="0084583F" w:rsidP="00B16ACF">
      <w:pPr>
        <w:numPr>
          <w:ilvl w:val="0"/>
          <w:numId w:val="17"/>
        </w:numPr>
        <w:spacing w:before="120" w:after="120"/>
        <w:rPr>
          <w:rFonts w:eastAsia="Calibri" w:cs="Times New Roman"/>
          <w:szCs w:val="18"/>
        </w:rPr>
      </w:pPr>
      <w:r w:rsidRPr="002F663C">
        <w:rPr>
          <w:rFonts w:eastAsia="Calibri" w:cs="Times New Roman"/>
          <w:b/>
          <w:bCs/>
          <w:szCs w:val="18"/>
        </w:rPr>
        <w:t xml:space="preserve">Banking and trading credits: </w:t>
      </w:r>
      <w:r w:rsidRPr="002F663C">
        <w:rPr>
          <w:rFonts w:eastAsia="Calibri" w:cs="Times New Roman"/>
          <w:szCs w:val="18"/>
        </w:rPr>
        <w:t>Manufacturers may continue generating and banking credits to use for compliance in the future, or purchase excess credits earned from other manufacturers, adding flexibility across the industry.</w:t>
      </w:r>
    </w:p>
    <w:p w14:paraId="59E216CE" w14:textId="77777777" w:rsidR="003D455B" w:rsidRPr="002F663C" w:rsidRDefault="0084583F" w:rsidP="00B16ACF">
      <w:pPr>
        <w:numPr>
          <w:ilvl w:val="0"/>
          <w:numId w:val="17"/>
        </w:numPr>
        <w:spacing w:before="120" w:after="120"/>
        <w:rPr>
          <w:rFonts w:eastAsia="Calibri" w:cs="Times New Roman"/>
          <w:szCs w:val="18"/>
        </w:rPr>
      </w:pPr>
      <w:r w:rsidRPr="002F663C">
        <w:rPr>
          <w:rFonts w:eastAsia="Calibri" w:cs="Times New Roman"/>
          <w:b/>
          <w:bCs/>
          <w:szCs w:val="18"/>
        </w:rPr>
        <w:t xml:space="preserve">Using credits across vehicle types (for non-tractor trucks): </w:t>
      </w:r>
      <w:r w:rsidRPr="002F663C">
        <w:rPr>
          <w:rFonts w:eastAsia="Calibri" w:cs="Times New Roman"/>
          <w:szCs w:val="18"/>
        </w:rPr>
        <w:t>Manufacturers may use Class 2b-3 and Class 4-8 non-tractor credits interchangeably, providing flexibility for different product portfolios and truck types.</w:t>
      </w:r>
    </w:p>
    <w:p w14:paraId="5191B0E8" w14:textId="77777777" w:rsidR="003D455B" w:rsidRPr="002F663C" w:rsidRDefault="0084583F" w:rsidP="00B16ACF">
      <w:pPr>
        <w:numPr>
          <w:ilvl w:val="0"/>
          <w:numId w:val="17"/>
        </w:numPr>
        <w:spacing w:before="120" w:after="120"/>
        <w:rPr>
          <w:rFonts w:eastAsia="Calibri" w:cs="Times New Roman"/>
          <w:szCs w:val="18"/>
        </w:rPr>
      </w:pPr>
      <w:r w:rsidRPr="002F663C">
        <w:rPr>
          <w:rFonts w:eastAsia="Calibri" w:cs="Times New Roman"/>
          <w:b/>
          <w:bCs/>
          <w:szCs w:val="18"/>
        </w:rPr>
        <w:t xml:space="preserve">Using non-tractor credits to meet tractor deficits for manufacturers with 25 or fewer tractor (e.g., semi-truck) deficits: </w:t>
      </w:r>
      <w:r w:rsidRPr="002F663C">
        <w:rPr>
          <w:rFonts w:eastAsia="Calibri" w:cs="Times New Roman"/>
          <w:szCs w:val="18"/>
        </w:rPr>
        <w:t>Manufacturers that sell very few Class 7-8 semi-trucks, or tractors, in a model year may use non-tractor credits for tractor compliance.</w:t>
      </w:r>
    </w:p>
    <w:p w14:paraId="5D3C867A" w14:textId="77777777" w:rsidR="003D455B" w:rsidRPr="002F663C" w:rsidRDefault="0084583F" w:rsidP="00B16ACF">
      <w:pPr>
        <w:spacing w:before="120" w:after="120"/>
        <w:rPr>
          <w:rFonts w:eastAsia="Calibri" w:cs="Times New Roman"/>
          <w:szCs w:val="18"/>
        </w:rPr>
      </w:pPr>
      <w:r w:rsidRPr="002F663C">
        <w:rPr>
          <w:rFonts w:eastAsia="Calibri" w:cs="Times New Roman"/>
          <w:b/>
          <w:bCs/>
          <w:szCs w:val="18"/>
        </w:rPr>
        <w:t>Upcoming Rulemaking Process</w:t>
      </w:r>
    </w:p>
    <w:p w14:paraId="75FFDA1F" w14:textId="77777777" w:rsidR="003D455B" w:rsidRPr="002F663C" w:rsidRDefault="0084583F" w:rsidP="00B16ACF">
      <w:pPr>
        <w:spacing w:before="120" w:after="120"/>
        <w:rPr>
          <w:rFonts w:eastAsia="Calibri" w:cs="Times New Roman"/>
          <w:szCs w:val="18"/>
        </w:rPr>
      </w:pPr>
      <w:r w:rsidRPr="002F663C">
        <w:rPr>
          <w:rFonts w:eastAsia="Calibri" w:cs="Times New Roman"/>
          <w:szCs w:val="18"/>
        </w:rPr>
        <w:t>The Oregon Department of Environmental Quality (DEQ) will initiate a formal rulemaking process in early 2025. First, the agency will convene an advisory committee with representation from diverse industries and interests to advise on permanently adopting these additional flexibilities and consider options for implementation. This process will include discussions on the impacts of the regulation in Oregon, and the challenges and opportunities for manufacturers, fleets and dealers. Advisory committee meetings will be open to the public and DEQ will provide multiple opportunities for the broader public to provide input and comment on proposals. DEQ aims to bring proposed rules to the Environmental Quality Commission for their consideration in July 2025.</w:t>
      </w:r>
    </w:p>
    <w:p w14:paraId="735FD55D" w14:textId="77777777" w:rsidR="003D455B" w:rsidRPr="002F663C" w:rsidRDefault="0084583F" w:rsidP="00B16ACF">
      <w:pPr>
        <w:spacing w:before="120" w:after="120"/>
        <w:rPr>
          <w:rFonts w:eastAsia="Calibri" w:cs="Times New Roman"/>
          <w:szCs w:val="18"/>
        </w:rPr>
      </w:pPr>
      <w:r w:rsidRPr="002F663C">
        <w:rPr>
          <w:rFonts w:eastAsia="Calibri" w:cs="Times New Roman"/>
          <w:b/>
          <w:bCs/>
          <w:szCs w:val="18"/>
        </w:rPr>
        <w:t xml:space="preserve">For more information about Oregon's Advanced Clean Truck Rule, please visit: </w:t>
      </w:r>
    </w:p>
    <w:p w14:paraId="3E894599" w14:textId="77777777" w:rsidR="003D455B" w:rsidRPr="002F663C" w:rsidRDefault="00497971" w:rsidP="00B16ACF">
      <w:pPr>
        <w:numPr>
          <w:ilvl w:val="0"/>
          <w:numId w:val="18"/>
        </w:numPr>
        <w:spacing w:before="120" w:after="120"/>
        <w:rPr>
          <w:rFonts w:eastAsia="Calibri" w:cs="Times New Roman"/>
          <w:szCs w:val="18"/>
        </w:rPr>
      </w:pPr>
      <w:hyperlink r:id="rId10" w:history="1">
        <w:r w:rsidR="0084583F" w:rsidRPr="002F663C">
          <w:rPr>
            <w:rFonts w:eastAsia="Calibri" w:cs="Times New Roman"/>
            <w:color w:val="0000FF"/>
            <w:szCs w:val="18"/>
            <w:u w:val="single"/>
          </w:rPr>
          <w:t>Oregon DEQ Medium- and Heavy-Duty Vehicle Emissions web page</w:t>
        </w:r>
      </w:hyperlink>
    </w:p>
    <w:p w14:paraId="333FDF51" w14:textId="77777777" w:rsidR="003D455B" w:rsidRPr="002F663C" w:rsidRDefault="00497971" w:rsidP="00B16ACF">
      <w:pPr>
        <w:numPr>
          <w:ilvl w:val="0"/>
          <w:numId w:val="18"/>
        </w:numPr>
        <w:spacing w:before="120" w:after="120"/>
        <w:rPr>
          <w:rFonts w:eastAsia="Calibri" w:cs="Times New Roman"/>
          <w:szCs w:val="18"/>
        </w:rPr>
      </w:pPr>
      <w:hyperlink r:id="rId11" w:history="1">
        <w:r w:rsidR="0084583F" w:rsidRPr="002F663C">
          <w:rPr>
            <w:rFonts w:eastAsia="Calibri" w:cs="Times New Roman"/>
            <w:color w:val="0000FF"/>
            <w:szCs w:val="18"/>
            <w:u w:val="single"/>
          </w:rPr>
          <w:t>Oregon's Advanced Clean Trucks Rule FAQ</w:t>
        </w:r>
      </w:hyperlink>
    </w:p>
    <w:p w14:paraId="3466ED02" w14:textId="77777777" w:rsidR="006C5A96" w:rsidRDefault="0084583F" w:rsidP="006C5A96">
      <w:pPr>
        <w:jc w:val="center"/>
        <w:rPr>
          <w:b/>
        </w:rPr>
      </w:pPr>
      <w:r w:rsidRPr="003971FF">
        <w:rPr>
          <w:b/>
        </w:rPr>
        <w:t>__________</w:t>
      </w:r>
    </w:p>
    <w:p w14:paraId="6B9F439C" w14:textId="77777777" w:rsidR="004D4D19" w:rsidRDefault="004D4D19" w:rsidP="007F38C2">
      <w:pPr>
        <w:jc w:val="center"/>
        <w:rPr>
          <w:b/>
        </w:rPr>
      </w:pPr>
    </w:p>
    <w:p w14:paraId="57F1A85D" w14:textId="77777777" w:rsidR="00A1565D" w:rsidRDefault="00A1565D" w:rsidP="003971FF">
      <w:pPr>
        <w:jc w:val="center"/>
        <w:rPr>
          <w:b/>
        </w:rPr>
      </w:pPr>
    </w:p>
    <w:sectPr w:rsidR="00A1565D" w:rsidSect="006C5A96">
      <w:headerReference w:type="even" r:id="rId12"/>
      <w:headerReference w:type="default" r:id="rId13"/>
      <w:footerReference w:type="even" r:id="rId14"/>
      <w:footerReference w:type="default" r:id="rId15"/>
      <w:headerReference w:type="first" r:id="rId16"/>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53D8E" w14:textId="77777777" w:rsidR="0084583F" w:rsidRDefault="0084583F">
      <w:r>
        <w:separator/>
      </w:r>
    </w:p>
  </w:endnote>
  <w:endnote w:type="continuationSeparator" w:id="0">
    <w:p w14:paraId="1AC31DF7" w14:textId="77777777" w:rsidR="0084583F" w:rsidRDefault="00845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F3A75" w14:textId="77777777" w:rsidR="00544326" w:rsidRPr="00DD3DD7" w:rsidRDefault="0084583F" w:rsidP="00DD3DD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0BCEC" w14:textId="77777777" w:rsidR="00544326" w:rsidRPr="00DD3DD7" w:rsidRDefault="0084583F" w:rsidP="00DD3DD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EAC62" w14:textId="77777777" w:rsidR="004D3A6A" w:rsidRDefault="0084583F" w:rsidP="00ED54E0">
      <w:r>
        <w:separator/>
      </w:r>
    </w:p>
  </w:footnote>
  <w:footnote w:type="continuationSeparator" w:id="0">
    <w:p w14:paraId="3D9E26EF" w14:textId="77777777" w:rsidR="004D3A6A" w:rsidRDefault="0084583F" w:rsidP="00ED54E0">
      <w:r>
        <w:continuationSeparator/>
      </w:r>
    </w:p>
  </w:footnote>
  <w:footnote w:id="1">
    <w:p w14:paraId="7D180AA1" w14:textId="77777777" w:rsidR="007F6EA2" w:rsidRDefault="0084583F">
      <w:pPr>
        <w:pStyle w:val="FootnoteText"/>
      </w:pPr>
      <w:r>
        <w:rPr>
          <w:rStyle w:val="FootnoteReference"/>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BB74A" w14:textId="77777777" w:rsidR="00DD3DD7" w:rsidRDefault="0084583F" w:rsidP="00DD3DD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3DE351A6" w14:textId="77777777" w:rsidR="004D4D19" w:rsidRPr="00DD3DD7" w:rsidRDefault="004D4D19" w:rsidP="00DD3DD7">
    <w:pPr>
      <w:pStyle w:val="Header"/>
      <w:pBdr>
        <w:bottom w:val="single" w:sz="4" w:space="1" w:color="auto"/>
      </w:pBdr>
      <w:tabs>
        <w:tab w:val="clear" w:pos="4513"/>
        <w:tab w:val="clear" w:pos="9027"/>
      </w:tabs>
      <w:jc w:val="center"/>
    </w:pPr>
  </w:p>
  <w:p w14:paraId="54C016E2" w14:textId="77777777" w:rsidR="00DD3DD7" w:rsidRPr="00DD3DD7" w:rsidRDefault="0084583F"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683AC42D" w14:textId="77777777" w:rsidR="00544326" w:rsidRPr="00DD3DD7" w:rsidRDefault="00544326" w:rsidP="00DD3DD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1EB52" w14:textId="77777777" w:rsidR="00DD3DD7" w:rsidRPr="0084583F" w:rsidRDefault="0084583F" w:rsidP="00DD3DD7">
    <w:pPr>
      <w:pStyle w:val="Header"/>
      <w:pBdr>
        <w:bottom w:val="single" w:sz="4" w:space="1" w:color="auto"/>
      </w:pBdr>
      <w:tabs>
        <w:tab w:val="clear" w:pos="4513"/>
        <w:tab w:val="clear" w:pos="9027"/>
      </w:tabs>
      <w:jc w:val="center"/>
      <w:rPr>
        <w:lang w:val="es-ES"/>
      </w:rPr>
    </w:pPr>
    <w:bookmarkStart w:id="3" w:name="spsSymbolHeader"/>
    <w:r w:rsidRPr="0084583F">
      <w:rPr>
        <w:lang w:val="es-ES"/>
      </w:rPr>
      <w:t>G/TBT/N/USA/2123/Add.4</w:t>
    </w:r>
    <w:bookmarkEnd w:id="3"/>
  </w:p>
  <w:p w14:paraId="71BD97D5" w14:textId="77777777" w:rsidR="00DD3DD7" w:rsidRPr="0084583F" w:rsidRDefault="00DD3DD7" w:rsidP="00DD3DD7">
    <w:pPr>
      <w:pStyle w:val="Header"/>
      <w:pBdr>
        <w:bottom w:val="single" w:sz="4" w:space="1" w:color="auto"/>
      </w:pBdr>
      <w:tabs>
        <w:tab w:val="clear" w:pos="4513"/>
        <w:tab w:val="clear" w:pos="9027"/>
      </w:tabs>
      <w:jc w:val="center"/>
      <w:rPr>
        <w:lang w:val="es-ES"/>
      </w:rPr>
    </w:pPr>
  </w:p>
  <w:p w14:paraId="1176A790" w14:textId="77777777" w:rsidR="00DD3DD7" w:rsidRPr="00DD3DD7" w:rsidRDefault="0084583F"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1007096B" w14:textId="77777777" w:rsidR="00544326" w:rsidRPr="00DD3DD7" w:rsidRDefault="00544326" w:rsidP="00DD3DD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833CB" w14:paraId="46F0977B" w14:textId="77777777" w:rsidTr="00544326">
      <w:trPr>
        <w:trHeight w:val="240"/>
        <w:jc w:val="center"/>
      </w:trPr>
      <w:tc>
        <w:tcPr>
          <w:tcW w:w="3794" w:type="dxa"/>
          <w:shd w:val="clear" w:color="auto" w:fill="FFFFFF"/>
          <w:tcMar>
            <w:left w:w="108" w:type="dxa"/>
            <w:right w:w="108" w:type="dxa"/>
          </w:tcMar>
          <w:vAlign w:val="center"/>
        </w:tcPr>
        <w:p w14:paraId="327DDCD3"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218D5B34" w14:textId="77777777" w:rsidR="00ED54E0" w:rsidRPr="00182B84" w:rsidRDefault="0084583F" w:rsidP="00425DC5">
          <w:pPr>
            <w:jc w:val="right"/>
            <w:rPr>
              <w:b/>
              <w:color w:val="FF0000"/>
              <w:szCs w:val="16"/>
            </w:rPr>
          </w:pPr>
          <w:r>
            <w:rPr>
              <w:b/>
              <w:color w:val="FF0000"/>
              <w:szCs w:val="16"/>
            </w:rPr>
            <w:t xml:space="preserve"> </w:t>
          </w:r>
        </w:p>
      </w:tc>
    </w:tr>
    <w:tr w:rsidR="008833CB" w14:paraId="5109B9CF" w14:textId="77777777" w:rsidTr="00544326">
      <w:trPr>
        <w:trHeight w:val="213"/>
        <w:jc w:val="center"/>
      </w:trPr>
      <w:tc>
        <w:tcPr>
          <w:tcW w:w="3794" w:type="dxa"/>
          <w:vMerge w:val="restart"/>
          <w:shd w:val="clear" w:color="auto" w:fill="FFFFFF"/>
          <w:tcMar>
            <w:left w:w="0" w:type="dxa"/>
            <w:right w:w="0" w:type="dxa"/>
          </w:tcMar>
        </w:tcPr>
        <w:p w14:paraId="16F02F5D" w14:textId="77777777" w:rsidR="00ED54E0" w:rsidRPr="00182B84" w:rsidRDefault="0084583F" w:rsidP="00425DC5">
          <w:pPr>
            <w:jc w:val="left"/>
          </w:pPr>
          <w:r w:rsidRPr="00182B84">
            <w:rPr>
              <w:noProof/>
              <w:lang w:val="en-US"/>
            </w:rPr>
            <w:drawing>
              <wp:inline distT="0" distB="0" distL="0" distR="0" wp14:anchorId="44A4CBB8" wp14:editId="01282B76">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838885"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755C8EC" w14:textId="77777777" w:rsidR="00ED54E0" w:rsidRPr="00182B84" w:rsidRDefault="00ED54E0" w:rsidP="00425DC5">
          <w:pPr>
            <w:jc w:val="right"/>
            <w:rPr>
              <w:b/>
              <w:szCs w:val="16"/>
            </w:rPr>
          </w:pPr>
        </w:p>
      </w:tc>
    </w:tr>
    <w:tr w:rsidR="008833CB" w:rsidRPr="00497971" w14:paraId="3992D89B" w14:textId="77777777" w:rsidTr="00544326">
      <w:trPr>
        <w:trHeight w:val="868"/>
        <w:jc w:val="center"/>
      </w:trPr>
      <w:tc>
        <w:tcPr>
          <w:tcW w:w="3794" w:type="dxa"/>
          <w:vMerge/>
          <w:shd w:val="clear" w:color="auto" w:fill="FFFFFF"/>
          <w:tcMar>
            <w:left w:w="108" w:type="dxa"/>
            <w:right w:w="108" w:type="dxa"/>
          </w:tcMar>
        </w:tcPr>
        <w:p w14:paraId="7D2A1D40"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53B12566" w14:textId="77777777" w:rsidR="00DD3DD7" w:rsidRPr="0084583F" w:rsidRDefault="0084583F" w:rsidP="00DD3DD7">
          <w:pPr>
            <w:jc w:val="right"/>
            <w:rPr>
              <w:rFonts w:eastAsia="Calibri" w:cs="Times New Roman"/>
              <w:b/>
              <w:szCs w:val="16"/>
              <w:lang w:val="es-ES"/>
            </w:rPr>
          </w:pPr>
          <w:bookmarkStart w:id="4" w:name="bmkSymbols"/>
          <w:r w:rsidRPr="0084583F">
            <w:rPr>
              <w:rFonts w:eastAsia="Calibri" w:cs="Times New Roman"/>
              <w:b/>
              <w:szCs w:val="16"/>
              <w:lang w:val="es-ES"/>
            </w:rPr>
            <w:t>G/TBT/N/USA/2123/Add.4</w:t>
          </w:r>
          <w:bookmarkEnd w:id="4"/>
        </w:p>
        <w:p w14:paraId="4DF48B5A" w14:textId="77777777" w:rsidR="00C14444" w:rsidRPr="0084583F" w:rsidRDefault="00C14444" w:rsidP="00C14444">
          <w:pPr>
            <w:jc w:val="center"/>
            <w:rPr>
              <w:szCs w:val="16"/>
              <w:lang w:val="es-ES"/>
            </w:rPr>
          </w:pPr>
        </w:p>
      </w:tc>
    </w:tr>
    <w:tr w:rsidR="008833CB" w:rsidRPr="0084583F" w14:paraId="20024797" w14:textId="77777777" w:rsidTr="00544326">
      <w:trPr>
        <w:trHeight w:val="240"/>
        <w:jc w:val="center"/>
      </w:trPr>
      <w:tc>
        <w:tcPr>
          <w:tcW w:w="3794" w:type="dxa"/>
          <w:vMerge/>
          <w:shd w:val="clear" w:color="auto" w:fill="FFFFFF"/>
          <w:tcMar>
            <w:left w:w="108" w:type="dxa"/>
            <w:right w:w="108" w:type="dxa"/>
          </w:tcMar>
          <w:vAlign w:val="center"/>
        </w:tcPr>
        <w:p w14:paraId="518C9523" w14:textId="77777777" w:rsidR="00ED54E0" w:rsidRPr="0084583F" w:rsidRDefault="00ED54E0" w:rsidP="00425DC5">
          <w:pPr>
            <w:rPr>
              <w:lang w:val="es-ES"/>
            </w:rPr>
          </w:pPr>
        </w:p>
      </w:tc>
      <w:tc>
        <w:tcPr>
          <w:tcW w:w="5448" w:type="dxa"/>
          <w:gridSpan w:val="2"/>
          <w:shd w:val="clear" w:color="auto" w:fill="FFFFFF"/>
          <w:tcMar>
            <w:left w:w="108" w:type="dxa"/>
            <w:right w:w="108" w:type="dxa"/>
          </w:tcMar>
          <w:vAlign w:val="center"/>
        </w:tcPr>
        <w:p w14:paraId="19424FF6" w14:textId="34A7A8EC" w:rsidR="00ED54E0" w:rsidRPr="0084583F" w:rsidRDefault="0084583F" w:rsidP="00425DC5">
          <w:pPr>
            <w:jc w:val="right"/>
            <w:rPr>
              <w:szCs w:val="16"/>
            </w:rPr>
          </w:pPr>
          <w:bookmarkStart w:id="5" w:name="bmkDate"/>
          <w:bookmarkEnd w:id="5"/>
          <w:r>
            <w:rPr>
              <w:szCs w:val="16"/>
            </w:rPr>
            <w:t>9 January 2025</w:t>
          </w:r>
        </w:p>
      </w:tc>
    </w:tr>
    <w:tr w:rsidR="008833CB" w14:paraId="6B28F8F4"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28140AD" w14:textId="349CD496" w:rsidR="00ED54E0" w:rsidRPr="00182B84" w:rsidRDefault="0084583F" w:rsidP="00425DC5">
          <w:pPr>
            <w:jc w:val="left"/>
            <w:rPr>
              <w:b/>
            </w:rPr>
          </w:pPr>
          <w:r w:rsidRPr="002F663C">
            <w:rPr>
              <w:rFonts w:eastAsia="Calibri" w:cs="Times New Roman"/>
              <w:color w:val="FF0000"/>
              <w:szCs w:val="16"/>
            </w:rPr>
            <w:t>(</w:t>
          </w:r>
          <w:bookmarkStart w:id="6" w:name="bmkSerial"/>
          <w:bookmarkEnd w:id="6"/>
          <w:r>
            <w:rPr>
              <w:rFonts w:eastAsia="Calibri" w:cs="Times New Roman"/>
              <w:color w:val="FF0000"/>
              <w:szCs w:val="16"/>
            </w:rPr>
            <w:t>25-</w:t>
          </w:r>
          <w:r w:rsidR="00497971">
            <w:rPr>
              <w:rFonts w:eastAsia="Calibri" w:cs="Times New Roman"/>
              <w:color w:val="FF0000"/>
              <w:szCs w:val="16"/>
            </w:rPr>
            <w:t>0234</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039AF801" w14:textId="77777777" w:rsidR="00ED54E0" w:rsidRPr="00182B84" w:rsidRDefault="0084583F"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8833CB" w14:paraId="0C738FF0"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DE3AA7E" w14:textId="77777777" w:rsidR="00ED54E0" w:rsidRPr="00182B84" w:rsidRDefault="0084583F"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4210755F" w14:textId="77777777" w:rsidR="00ED54E0" w:rsidRPr="00182B84" w:rsidRDefault="0084583F"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4865962C" w14:textId="77777777" w:rsidR="00ED54E0" w:rsidRDefault="00ED54E0" w:rsidP="00DD3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9A20601E">
      <w:start w:val="1"/>
      <w:numFmt w:val="decimal"/>
      <w:pStyle w:val="SummaryText"/>
      <w:lvlText w:val="%1."/>
      <w:lvlJc w:val="left"/>
      <w:pPr>
        <w:ind w:left="360" w:hanging="360"/>
      </w:pPr>
    </w:lvl>
    <w:lvl w:ilvl="1" w:tplc="E56AD722" w:tentative="1">
      <w:start w:val="1"/>
      <w:numFmt w:val="lowerLetter"/>
      <w:lvlText w:val="%2."/>
      <w:lvlJc w:val="left"/>
      <w:pPr>
        <w:ind w:left="1080" w:hanging="360"/>
      </w:pPr>
    </w:lvl>
    <w:lvl w:ilvl="2" w:tplc="AD4CBA30" w:tentative="1">
      <w:start w:val="1"/>
      <w:numFmt w:val="lowerRoman"/>
      <w:lvlText w:val="%3."/>
      <w:lvlJc w:val="right"/>
      <w:pPr>
        <w:ind w:left="1800" w:hanging="180"/>
      </w:pPr>
    </w:lvl>
    <w:lvl w:ilvl="3" w:tplc="56822072" w:tentative="1">
      <w:start w:val="1"/>
      <w:numFmt w:val="decimal"/>
      <w:lvlText w:val="%4."/>
      <w:lvlJc w:val="left"/>
      <w:pPr>
        <w:ind w:left="2520" w:hanging="360"/>
      </w:pPr>
    </w:lvl>
    <w:lvl w:ilvl="4" w:tplc="3B3248B0" w:tentative="1">
      <w:start w:val="1"/>
      <w:numFmt w:val="lowerLetter"/>
      <w:lvlText w:val="%5."/>
      <w:lvlJc w:val="left"/>
      <w:pPr>
        <w:ind w:left="3240" w:hanging="360"/>
      </w:pPr>
    </w:lvl>
    <w:lvl w:ilvl="5" w:tplc="0870F3F4" w:tentative="1">
      <w:start w:val="1"/>
      <w:numFmt w:val="lowerRoman"/>
      <w:lvlText w:val="%6."/>
      <w:lvlJc w:val="right"/>
      <w:pPr>
        <w:ind w:left="3960" w:hanging="180"/>
      </w:pPr>
    </w:lvl>
    <w:lvl w:ilvl="6" w:tplc="5D64499A" w:tentative="1">
      <w:start w:val="1"/>
      <w:numFmt w:val="decimal"/>
      <w:lvlText w:val="%7."/>
      <w:lvlJc w:val="left"/>
      <w:pPr>
        <w:ind w:left="4680" w:hanging="360"/>
      </w:pPr>
    </w:lvl>
    <w:lvl w:ilvl="7" w:tplc="F226460E" w:tentative="1">
      <w:start w:val="1"/>
      <w:numFmt w:val="lowerLetter"/>
      <w:lvlText w:val="%8."/>
      <w:lvlJc w:val="left"/>
      <w:pPr>
        <w:ind w:left="5400" w:hanging="360"/>
      </w:pPr>
    </w:lvl>
    <w:lvl w:ilvl="8" w:tplc="F508EF10"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A6743514">
      <w:start w:val="1"/>
      <w:numFmt w:val="bullet"/>
      <w:lvlText w:val=""/>
      <w:lvlJc w:val="left"/>
      <w:pPr>
        <w:ind w:left="720" w:hanging="360"/>
      </w:pPr>
      <w:rPr>
        <w:rFonts w:ascii="Symbol" w:hAnsi="Symbol"/>
      </w:rPr>
    </w:lvl>
    <w:lvl w:ilvl="1" w:tplc="AB3CAB7C">
      <w:start w:val="1"/>
      <w:numFmt w:val="bullet"/>
      <w:lvlText w:val="o"/>
      <w:lvlJc w:val="left"/>
      <w:pPr>
        <w:tabs>
          <w:tab w:val="num" w:pos="1440"/>
        </w:tabs>
        <w:ind w:left="1440" w:hanging="360"/>
      </w:pPr>
      <w:rPr>
        <w:rFonts w:ascii="Courier New" w:hAnsi="Courier New"/>
      </w:rPr>
    </w:lvl>
    <w:lvl w:ilvl="2" w:tplc="4508C74A">
      <w:start w:val="1"/>
      <w:numFmt w:val="bullet"/>
      <w:lvlText w:val=""/>
      <w:lvlJc w:val="left"/>
      <w:pPr>
        <w:tabs>
          <w:tab w:val="num" w:pos="2160"/>
        </w:tabs>
        <w:ind w:left="2160" w:hanging="360"/>
      </w:pPr>
      <w:rPr>
        <w:rFonts w:ascii="Wingdings" w:hAnsi="Wingdings"/>
      </w:rPr>
    </w:lvl>
    <w:lvl w:ilvl="3" w:tplc="0ABC3CD8">
      <w:start w:val="1"/>
      <w:numFmt w:val="bullet"/>
      <w:lvlText w:val=""/>
      <w:lvlJc w:val="left"/>
      <w:pPr>
        <w:tabs>
          <w:tab w:val="num" w:pos="2880"/>
        </w:tabs>
        <w:ind w:left="2880" w:hanging="360"/>
      </w:pPr>
      <w:rPr>
        <w:rFonts w:ascii="Symbol" w:hAnsi="Symbol"/>
      </w:rPr>
    </w:lvl>
    <w:lvl w:ilvl="4" w:tplc="9DDA30BA">
      <w:start w:val="1"/>
      <w:numFmt w:val="bullet"/>
      <w:lvlText w:val="o"/>
      <w:lvlJc w:val="left"/>
      <w:pPr>
        <w:tabs>
          <w:tab w:val="num" w:pos="3600"/>
        </w:tabs>
        <w:ind w:left="3600" w:hanging="360"/>
      </w:pPr>
      <w:rPr>
        <w:rFonts w:ascii="Courier New" w:hAnsi="Courier New"/>
      </w:rPr>
    </w:lvl>
    <w:lvl w:ilvl="5" w:tplc="CE4233C2">
      <w:start w:val="1"/>
      <w:numFmt w:val="bullet"/>
      <w:lvlText w:val=""/>
      <w:lvlJc w:val="left"/>
      <w:pPr>
        <w:tabs>
          <w:tab w:val="num" w:pos="4320"/>
        </w:tabs>
        <w:ind w:left="4320" w:hanging="360"/>
      </w:pPr>
      <w:rPr>
        <w:rFonts w:ascii="Wingdings" w:hAnsi="Wingdings"/>
      </w:rPr>
    </w:lvl>
    <w:lvl w:ilvl="6" w:tplc="E234861E">
      <w:start w:val="1"/>
      <w:numFmt w:val="bullet"/>
      <w:lvlText w:val=""/>
      <w:lvlJc w:val="left"/>
      <w:pPr>
        <w:tabs>
          <w:tab w:val="num" w:pos="5040"/>
        </w:tabs>
        <w:ind w:left="5040" w:hanging="360"/>
      </w:pPr>
      <w:rPr>
        <w:rFonts w:ascii="Symbol" w:hAnsi="Symbol"/>
      </w:rPr>
    </w:lvl>
    <w:lvl w:ilvl="7" w:tplc="8D963AB4">
      <w:start w:val="1"/>
      <w:numFmt w:val="bullet"/>
      <w:lvlText w:val="o"/>
      <w:lvlJc w:val="left"/>
      <w:pPr>
        <w:tabs>
          <w:tab w:val="num" w:pos="5760"/>
        </w:tabs>
        <w:ind w:left="5760" w:hanging="360"/>
      </w:pPr>
      <w:rPr>
        <w:rFonts w:ascii="Courier New" w:hAnsi="Courier New"/>
      </w:rPr>
    </w:lvl>
    <w:lvl w:ilvl="8" w:tplc="98C652E0">
      <w:start w:val="1"/>
      <w:numFmt w:val="bullet"/>
      <w:lvlText w:val=""/>
      <w:lvlJc w:val="left"/>
      <w:pPr>
        <w:tabs>
          <w:tab w:val="num" w:pos="6480"/>
        </w:tabs>
        <w:ind w:left="6480" w:hanging="360"/>
      </w:pPr>
      <w:rPr>
        <w:rFonts w:ascii="Wingdings" w:hAnsi="Wingdings"/>
      </w:rPr>
    </w:lvl>
  </w:abstractNum>
  <w:abstractNum w:abstractNumId="15" w15:restartNumberingAfterBreak="0">
    <w:nsid w:val="63D526BC"/>
    <w:multiLevelType w:val="hybridMultilevel"/>
    <w:tmpl w:val="63D526BC"/>
    <w:lvl w:ilvl="0" w:tplc="E60ACC24">
      <w:start w:val="1"/>
      <w:numFmt w:val="bullet"/>
      <w:lvlText w:val=""/>
      <w:lvlJc w:val="left"/>
      <w:pPr>
        <w:ind w:left="720" w:hanging="360"/>
      </w:pPr>
      <w:rPr>
        <w:rFonts w:ascii="Symbol" w:hAnsi="Symbol"/>
      </w:rPr>
    </w:lvl>
    <w:lvl w:ilvl="1" w:tplc="211EE9BA">
      <w:start w:val="1"/>
      <w:numFmt w:val="bullet"/>
      <w:lvlText w:val="o"/>
      <w:lvlJc w:val="left"/>
      <w:pPr>
        <w:tabs>
          <w:tab w:val="num" w:pos="1440"/>
        </w:tabs>
        <w:ind w:left="1440" w:hanging="360"/>
      </w:pPr>
      <w:rPr>
        <w:rFonts w:ascii="Courier New" w:hAnsi="Courier New"/>
      </w:rPr>
    </w:lvl>
    <w:lvl w:ilvl="2" w:tplc="233646D0">
      <w:start w:val="1"/>
      <w:numFmt w:val="bullet"/>
      <w:lvlText w:val=""/>
      <w:lvlJc w:val="left"/>
      <w:pPr>
        <w:tabs>
          <w:tab w:val="num" w:pos="2160"/>
        </w:tabs>
        <w:ind w:left="2160" w:hanging="360"/>
      </w:pPr>
      <w:rPr>
        <w:rFonts w:ascii="Wingdings" w:hAnsi="Wingdings"/>
      </w:rPr>
    </w:lvl>
    <w:lvl w:ilvl="3" w:tplc="0F908A82">
      <w:start w:val="1"/>
      <w:numFmt w:val="bullet"/>
      <w:lvlText w:val=""/>
      <w:lvlJc w:val="left"/>
      <w:pPr>
        <w:tabs>
          <w:tab w:val="num" w:pos="2880"/>
        </w:tabs>
        <w:ind w:left="2880" w:hanging="360"/>
      </w:pPr>
      <w:rPr>
        <w:rFonts w:ascii="Symbol" w:hAnsi="Symbol"/>
      </w:rPr>
    </w:lvl>
    <w:lvl w:ilvl="4" w:tplc="39F6FCCE">
      <w:start w:val="1"/>
      <w:numFmt w:val="bullet"/>
      <w:lvlText w:val="o"/>
      <w:lvlJc w:val="left"/>
      <w:pPr>
        <w:tabs>
          <w:tab w:val="num" w:pos="3600"/>
        </w:tabs>
        <w:ind w:left="3600" w:hanging="360"/>
      </w:pPr>
      <w:rPr>
        <w:rFonts w:ascii="Courier New" w:hAnsi="Courier New"/>
      </w:rPr>
    </w:lvl>
    <w:lvl w:ilvl="5" w:tplc="F9EC75A6">
      <w:start w:val="1"/>
      <w:numFmt w:val="bullet"/>
      <w:lvlText w:val=""/>
      <w:lvlJc w:val="left"/>
      <w:pPr>
        <w:tabs>
          <w:tab w:val="num" w:pos="4320"/>
        </w:tabs>
        <w:ind w:left="4320" w:hanging="360"/>
      </w:pPr>
      <w:rPr>
        <w:rFonts w:ascii="Wingdings" w:hAnsi="Wingdings"/>
      </w:rPr>
    </w:lvl>
    <w:lvl w:ilvl="6" w:tplc="E08AA85C">
      <w:start w:val="1"/>
      <w:numFmt w:val="bullet"/>
      <w:lvlText w:val=""/>
      <w:lvlJc w:val="left"/>
      <w:pPr>
        <w:tabs>
          <w:tab w:val="num" w:pos="5040"/>
        </w:tabs>
        <w:ind w:left="5040" w:hanging="360"/>
      </w:pPr>
      <w:rPr>
        <w:rFonts w:ascii="Symbol" w:hAnsi="Symbol"/>
      </w:rPr>
    </w:lvl>
    <w:lvl w:ilvl="7" w:tplc="464C5226">
      <w:start w:val="1"/>
      <w:numFmt w:val="bullet"/>
      <w:lvlText w:val="o"/>
      <w:lvlJc w:val="left"/>
      <w:pPr>
        <w:tabs>
          <w:tab w:val="num" w:pos="5760"/>
        </w:tabs>
        <w:ind w:left="5760" w:hanging="360"/>
      </w:pPr>
      <w:rPr>
        <w:rFonts w:ascii="Courier New" w:hAnsi="Courier New"/>
      </w:rPr>
    </w:lvl>
    <w:lvl w:ilvl="8" w:tplc="DD5213E8">
      <w:start w:val="1"/>
      <w:numFmt w:val="bullet"/>
      <w:lvlText w:val=""/>
      <w:lvlJc w:val="left"/>
      <w:pPr>
        <w:tabs>
          <w:tab w:val="num" w:pos="6480"/>
        </w:tabs>
        <w:ind w:left="6480" w:hanging="360"/>
      </w:pPr>
      <w:rPr>
        <w:rFonts w:ascii="Wingdings" w:hAnsi="Wingdings"/>
      </w:rPr>
    </w:lvl>
  </w:abstractNum>
  <w:num w:numId="1" w16cid:durableId="983387321">
    <w:abstractNumId w:val="9"/>
  </w:num>
  <w:num w:numId="2" w16cid:durableId="715928447">
    <w:abstractNumId w:val="7"/>
  </w:num>
  <w:num w:numId="3" w16cid:durableId="378939730">
    <w:abstractNumId w:val="6"/>
  </w:num>
  <w:num w:numId="4" w16cid:durableId="385568082">
    <w:abstractNumId w:val="5"/>
  </w:num>
  <w:num w:numId="5" w16cid:durableId="491455121">
    <w:abstractNumId w:val="4"/>
  </w:num>
  <w:num w:numId="6" w16cid:durableId="946621792">
    <w:abstractNumId w:val="12"/>
  </w:num>
  <w:num w:numId="7" w16cid:durableId="2130204314">
    <w:abstractNumId w:val="11"/>
  </w:num>
  <w:num w:numId="8" w16cid:durableId="1390763914">
    <w:abstractNumId w:val="10"/>
  </w:num>
  <w:num w:numId="9" w16cid:durableId="6344859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87746398">
    <w:abstractNumId w:val="13"/>
  </w:num>
  <w:num w:numId="11" w16cid:durableId="1165628037">
    <w:abstractNumId w:val="8"/>
  </w:num>
  <w:num w:numId="12" w16cid:durableId="380134916">
    <w:abstractNumId w:val="3"/>
  </w:num>
  <w:num w:numId="13" w16cid:durableId="1132794224">
    <w:abstractNumId w:val="2"/>
  </w:num>
  <w:num w:numId="14" w16cid:durableId="1106388186">
    <w:abstractNumId w:val="1"/>
  </w:num>
  <w:num w:numId="15" w16cid:durableId="722096843">
    <w:abstractNumId w:val="0"/>
  </w:num>
  <w:num w:numId="16" w16cid:durableId="518815527">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 w:numId="17" w16cid:durableId="11153000">
    <w:abstractNumId w:val="14"/>
  </w:num>
  <w:num w:numId="18" w16cid:durableId="18611649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defaultTabStop w:val="567"/>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1E3"/>
    <w:rsid w:val="003156C6"/>
    <w:rsid w:val="00327D40"/>
    <w:rsid w:val="00335575"/>
    <w:rsid w:val="003572B4"/>
    <w:rsid w:val="00370A55"/>
    <w:rsid w:val="00381A7D"/>
    <w:rsid w:val="003971FF"/>
    <w:rsid w:val="00397FF5"/>
    <w:rsid w:val="003D455B"/>
    <w:rsid w:val="004244A9"/>
    <w:rsid w:val="00425DC5"/>
    <w:rsid w:val="00467032"/>
    <w:rsid w:val="0046754A"/>
    <w:rsid w:val="00467A46"/>
    <w:rsid w:val="00497971"/>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4583F"/>
    <w:rsid w:val="008739FD"/>
    <w:rsid w:val="008833CB"/>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EB8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Text">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oregon.gov/deq/aq/Documents/cfpMHDtruckRulesFAQ.pdf"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oregon.gov/deq/aq/programs/Pages/HB-2007.aspx" TargetMode="External"/><Relationship Id="rId4" Type="http://schemas.openxmlformats.org/officeDocument/2006/relationships/styles" Target="styles.xml"/><Relationship Id="rId9" Type="http://schemas.openxmlformats.org/officeDocument/2006/relationships/hyperlink" Target="https://secure.sos.state.or.us/oard/displayDivisionRules.action?selectedDivision=1563"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ter-Johnson\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54B09108-BB8A-46B7-8ABA-185BFD4A2136}">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650</Words>
  <Characters>3706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2025-01-09T10:25:00Z</dcterms:created>
  <dcterms:modified xsi:type="dcterms:W3CDTF">2025-01-09T11:01:00Z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