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2688" w14:textId="77777777" w:rsidR="002D78C9" w:rsidRDefault="009F1A4E" w:rsidP="00DD3DD7">
      <w:pPr>
        <w:pStyle w:val="Titre"/>
      </w:pPr>
      <w:r w:rsidRPr="002F663C">
        <w:t>NOTIFICATION</w:t>
      </w:r>
    </w:p>
    <w:p w14:paraId="7AEF29FC" w14:textId="77777777" w:rsidR="002F663C" w:rsidRPr="002F663C" w:rsidRDefault="009F1A4E" w:rsidP="00DD3DD7">
      <w:pPr>
        <w:pStyle w:val="Title3"/>
      </w:pPr>
      <w:r w:rsidRPr="002F663C">
        <w:t>Addendum</w:t>
      </w:r>
    </w:p>
    <w:p w14:paraId="442AAF0B" w14:textId="77777777" w:rsidR="002F663C" w:rsidRDefault="009F1A4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48A14A2" w14:textId="77777777" w:rsidR="001E2E4A" w:rsidRPr="002F663C" w:rsidRDefault="001E2E4A" w:rsidP="001E2E4A">
      <w:pPr>
        <w:rPr>
          <w:rFonts w:eastAsia="Calibri" w:cs="Times New Roman"/>
        </w:rPr>
      </w:pPr>
    </w:p>
    <w:p w14:paraId="30466A50" w14:textId="77777777" w:rsidR="002F663C" w:rsidRPr="002F663C" w:rsidRDefault="009F1A4E" w:rsidP="002F663C">
      <w:pPr>
        <w:jc w:val="center"/>
        <w:rPr>
          <w:rFonts w:eastAsia="Calibri" w:cs="Times New Roman"/>
          <w:b/>
        </w:rPr>
      </w:pPr>
      <w:r w:rsidRPr="002F663C">
        <w:rPr>
          <w:rFonts w:eastAsia="Calibri" w:cs="Times New Roman"/>
          <w:b/>
        </w:rPr>
        <w:t>_______________</w:t>
      </w:r>
    </w:p>
    <w:p w14:paraId="18694247" w14:textId="77777777" w:rsidR="002F663C" w:rsidRDefault="002F663C" w:rsidP="002F663C">
      <w:pPr>
        <w:rPr>
          <w:rFonts w:eastAsia="Calibri" w:cs="Times New Roman"/>
        </w:rPr>
      </w:pPr>
    </w:p>
    <w:p w14:paraId="19204EA6" w14:textId="77777777" w:rsidR="00C14444" w:rsidRPr="002F663C" w:rsidRDefault="00C14444" w:rsidP="002F663C">
      <w:pPr>
        <w:rPr>
          <w:rFonts w:eastAsia="Calibri" w:cs="Times New Roman"/>
        </w:rPr>
      </w:pPr>
    </w:p>
    <w:p w14:paraId="0775FA45" w14:textId="77777777" w:rsidR="002F663C" w:rsidRPr="002F663C" w:rsidRDefault="009F1A4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Positive Train Control Systems</w:t>
      </w:r>
    </w:p>
    <w:p w14:paraId="540ED2E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71004" w14:paraId="7F8BF91D"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7BCC2DA" w14:textId="77777777" w:rsidR="002F663C" w:rsidRPr="002F663C" w:rsidRDefault="009F1A4E"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371004" w14:paraId="4F095EA1" w14:textId="77777777" w:rsidTr="00E9471B">
        <w:tc>
          <w:tcPr>
            <w:tcW w:w="851" w:type="dxa"/>
            <w:shd w:val="clear" w:color="auto" w:fill="auto"/>
          </w:tcPr>
          <w:p w14:paraId="37E0B829" w14:textId="77777777" w:rsidR="002F663C" w:rsidRPr="00711F9C" w:rsidRDefault="009F1A4E"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4305C2A7" w14:textId="77777777" w:rsidR="002F663C" w:rsidRPr="002F663C" w:rsidRDefault="009F1A4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11 January 2025</w:t>
            </w:r>
          </w:p>
        </w:tc>
      </w:tr>
      <w:tr w:rsidR="00371004" w14:paraId="169CCB4B" w14:textId="77777777" w:rsidTr="00E9471B">
        <w:tc>
          <w:tcPr>
            <w:tcW w:w="851" w:type="dxa"/>
            <w:shd w:val="clear" w:color="auto" w:fill="auto"/>
          </w:tcPr>
          <w:p w14:paraId="358017C9" w14:textId="77777777" w:rsidR="002F663C" w:rsidRPr="00711F9C" w:rsidRDefault="009F1A4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E1D56EF" w14:textId="77777777" w:rsidR="002F663C" w:rsidRPr="002F663C" w:rsidRDefault="009F1A4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371004" w14:paraId="0C45C771" w14:textId="77777777" w:rsidTr="00E9471B">
        <w:tc>
          <w:tcPr>
            <w:tcW w:w="851" w:type="dxa"/>
            <w:shd w:val="clear" w:color="auto" w:fill="auto"/>
          </w:tcPr>
          <w:p w14:paraId="182FC621" w14:textId="77777777" w:rsidR="002F663C" w:rsidRPr="00711F9C" w:rsidRDefault="009F1A4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BD09735" w14:textId="77777777" w:rsidR="002F663C" w:rsidRPr="002F663C" w:rsidRDefault="009F1A4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371004" w14:paraId="3EBBA473" w14:textId="77777777" w:rsidTr="00E9471B">
        <w:tc>
          <w:tcPr>
            <w:tcW w:w="851" w:type="dxa"/>
            <w:shd w:val="clear" w:color="auto" w:fill="auto"/>
          </w:tcPr>
          <w:p w14:paraId="6C00DED7" w14:textId="77777777" w:rsidR="002F663C" w:rsidRPr="00711F9C" w:rsidRDefault="009F1A4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871BF0F" w14:textId="77777777" w:rsidR="002F663C" w:rsidRPr="002F663C" w:rsidRDefault="009F1A4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371004" w14:paraId="47FCCF9E" w14:textId="77777777" w:rsidTr="00E9471B">
        <w:tc>
          <w:tcPr>
            <w:tcW w:w="851" w:type="dxa"/>
            <w:shd w:val="clear" w:color="auto" w:fill="auto"/>
          </w:tcPr>
          <w:p w14:paraId="3FA0AF50" w14:textId="77777777" w:rsidR="002F663C" w:rsidRPr="00711F9C" w:rsidRDefault="009F1A4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2725A3F" w14:textId="77777777" w:rsidR="002F663C" w:rsidRPr="002F663C" w:rsidRDefault="009F1A4E"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tc>
      </w:tr>
      <w:tr w:rsidR="00371004" w14:paraId="7D930469" w14:textId="77777777" w:rsidTr="00E9471B">
        <w:tc>
          <w:tcPr>
            <w:tcW w:w="851" w:type="dxa"/>
            <w:shd w:val="clear" w:color="auto" w:fill="auto"/>
          </w:tcPr>
          <w:p w14:paraId="48B5CB19" w14:textId="77777777" w:rsidR="002F663C" w:rsidRPr="00711F9C" w:rsidRDefault="009F1A4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13D4ABD" w14:textId="77777777" w:rsidR="002F663C" w:rsidRPr="002F663C" w:rsidRDefault="009F1A4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768E12B" w14:textId="77777777" w:rsidR="002F663C" w:rsidRPr="002F663C" w:rsidRDefault="009F1A4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371004" w14:paraId="32FD8F2E" w14:textId="77777777" w:rsidTr="00E9471B">
        <w:tc>
          <w:tcPr>
            <w:tcW w:w="851" w:type="dxa"/>
            <w:shd w:val="clear" w:color="auto" w:fill="auto"/>
          </w:tcPr>
          <w:p w14:paraId="0C1D3B07" w14:textId="77777777" w:rsidR="002F663C" w:rsidRPr="00711F9C" w:rsidRDefault="009F1A4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86E359C" w14:textId="77777777" w:rsidR="002F663C" w:rsidRPr="002F663C" w:rsidRDefault="009F1A4E"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70B991C" w14:textId="77777777" w:rsidR="002F663C" w:rsidRPr="002F663C" w:rsidRDefault="009F1A4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371004" w14:paraId="43722867" w14:textId="77777777" w:rsidTr="00E9471B">
        <w:tc>
          <w:tcPr>
            <w:tcW w:w="851" w:type="dxa"/>
            <w:shd w:val="clear" w:color="auto" w:fill="auto"/>
          </w:tcPr>
          <w:p w14:paraId="446AA08B" w14:textId="77777777" w:rsidR="002F663C" w:rsidRPr="00711F9C" w:rsidRDefault="009F1A4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99DBD40" w14:textId="77777777" w:rsidR="002F663C" w:rsidRPr="002F663C" w:rsidRDefault="009F1A4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371004" w14:paraId="56AE8CC7" w14:textId="77777777" w:rsidTr="00E9471B">
        <w:tc>
          <w:tcPr>
            <w:tcW w:w="851" w:type="dxa"/>
            <w:tcBorders>
              <w:bottom w:val="double" w:sz="4" w:space="0" w:color="auto"/>
            </w:tcBorders>
            <w:shd w:val="clear" w:color="auto" w:fill="auto"/>
          </w:tcPr>
          <w:p w14:paraId="0D84BD54" w14:textId="77777777" w:rsidR="002F663C" w:rsidRPr="00711F9C" w:rsidRDefault="009F1A4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860050D" w14:textId="77777777" w:rsidR="002F663C" w:rsidRPr="002F663C" w:rsidRDefault="009F1A4E"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15B8BF5" w14:textId="77777777" w:rsidR="002F663C" w:rsidRPr="002F663C" w:rsidRDefault="002F663C" w:rsidP="002F663C">
      <w:pPr>
        <w:jc w:val="left"/>
        <w:rPr>
          <w:rFonts w:eastAsia="Calibri" w:cs="Times New Roman"/>
          <w:highlight w:val="yellow"/>
        </w:rPr>
      </w:pPr>
    </w:p>
    <w:p w14:paraId="3014EB6E" w14:textId="77777777" w:rsidR="003971FF" w:rsidRPr="007F6EA2" w:rsidRDefault="009F1A4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On 28 October 2024, the Federal Railroad Administration (FRA) published a </w:t>
      </w:r>
      <w:hyperlink r:id="rId9"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G/TBT/N/USA/480/Rev.1</w:t>
        </w:r>
      </w:hyperlink>
      <w:r w:rsidRPr="002F663C">
        <w:rPr>
          <w:rFonts w:eastAsia="Calibri" w:cs="Times New Roman"/>
          <w:szCs w:val="18"/>
        </w:rPr>
        <w:t>) proposing to amend certain regulations governing positive train control (PTC) systems. Through oversight and continued engagement with the industry, FRA has found that its existing PTC regulations do not adequately address temporary situations during which PTC technology is not enabled, including after certain initialization failures or in cases where a PTC system needs to be temporarily disabled to facilitate repair, maintenance, infrastructure upgrades, or capital projects. FRA expects PTC systems to be reliable and robust, further reducing the occurrence of initialization failures and outages. The NPRM proposes to establish strict parameters and operating restrictions under which railroads may continue to operate safely in certain necessary scenarios when PTC technology is temporarily not governing rail operations. By this notice, FRA is extending the NPRM's comment period, which will close on 27 December 2024, by 15 days.</w:t>
      </w:r>
    </w:p>
    <w:p w14:paraId="2D98A1FF" w14:textId="77777777" w:rsidR="000A27B8" w:rsidRPr="002F663C" w:rsidRDefault="009F1A4E" w:rsidP="00B16ACF">
      <w:pPr>
        <w:spacing w:before="120" w:after="120"/>
        <w:rPr>
          <w:rFonts w:eastAsia="Calibri" w:cs="Times New Roman"/>
          <w:szCs w:val="18"/>
        </w:rPr>
      </w:pPr>
      <w:r w:rsidRPr="002F663C">
        <w:rPr>
          <w:rFonts w:eastAsia="Calibri" w:cs="Times New Roman"/>
          <w:szCs w:val="18"/>
        </w:rPr>
        <w:t xml:space="preserve">The comment period for the proposed rule published 28 October 2024, at </w:t>
      </w:r>
      <w:hyperlink r:id="rId11" w:history="1">
        <w:r w:rsidRPr="002F663C">
          <w:rPr>
            <w:rFonts w:eastAsia="Calibri" w:cs="Times New Roman"/>
            <w:color w:val="0000FF"/>
            <w:szCs w:val="18"/>
            <w:u w:val="single"/>
          </w:rPr>
          <w:t>89 FR 85462</w:t>
        </w:r>
      </w:hyperlink>
      <w:r w:rsidRPr="002F663C">
        <w:rPr>
          <w:rFonts w:eastAsia="Calibri" w:cs="Times New Roman"/>
          <w:szCs w:val="18"/>
        </w:rPr>
        <w:t>, is extended. Comments should be received on or before 11 January 2025.</w:t>
      </w:r>
    </w:p>
    <w:p w14:paraId="538B7A1B" w14:textId="77777777" w:rsidR="000A27B8" w:rsidRPr="002F663C" w:rsidRDefault="009F1A4E" w:rsidP="00B16ACF">
      <w:pPr>
        <w:spacing w:before="120" w:after="120"/>
        <w:rPr>
          <w:rFonts w:eastAsia="Calibri" w:cs="Times New Roman"/>
          <w:szCs w:val="18"/>
        </w:rPr>
      </w:pPr>
      <w:r w:rsidRPr="002F663C">
        <w:rPr>
          <w:rFonts w:eastAsia="Calibri" w:cs="Times New Roman"/>
          <w:szCs w:val="18"/>
        </w:rPr>
        <w:lastRenderedPageBreak/>
        <w:t xml:space="preserve">89 Federal Register (FR) 104510, 23 December 2024; </w:t>
      </w:r>
      <w:hyperlink r:id="rId12" w:history="1">
        <w:r w:rsidRPr="002F663C">
          <w:rPr>
            <w:rFonts w:eastAsia="Calibri" w:cs="Times New Roman"/>
            <w:color w:val="0000FF"/>
            <w:szCs w:val="18"/>
            <w:u w:val="single"/>
          </w:rPr>
          <w:t>Title 49 Code of Federal Regulations (CFR) Parts 236</w:t>
        </w:r>
      </w:hyperlink>
      <w:r w:rsidRPr="002F663C">
        <w:rPr>
          <w:rFonts w:eastAsia="Calibri" w:cs="Times New Roman"/>
          <w:szCs w:val="18"/>
        </w:rPr>
        <w:t>:</w:t>
      </w:r>
    </w:p>
    <w:p w14:paraId="28D8446D" w14:textId="77777777" w:rsidR="000A27B8" w:rsidRPr="002F663C" w:rsidRDefault="002E3F8C" w:rsidP="00B16ACF">
      <w:pPr>
        <w:spacing w:before="120" w:after="120"/>
        <w:rPr>
          <w:rFonts w:eastAsia="Calibri" w:cs="Times New Roman"/>
          <w:szCs w:val="18"/>
        </w:rPr>
      </w:pPr>
      <w:hyperlink r:id="rId13" w:history="1">
        <w:r w:rsidR="009F1A4E" w:rsidRPr="002F663C">
          <w:rPr>
            <w:rFonts w:eastAsia="Calibri" w:cs="Times New Roman"/>
            <w:color w:val="0000FF"/>
            <w:szCs w:val="18"/>
            <w:u w:val="single"/>
          </w:rPr>
          <w:t>https://www.govinfo.gov/content/pkg/FR-2024-12-23/html/2024-30594.htm</w:t>
        </w:r>
      </w:hyperlink>
    </w:p>
    <w:p w14:paraId="0BC5C6E4" w14:textId="77777777" w:rsidR="000A27B8" w:rsidRPr="002F663C" w:rsidRDefault="002E3F8C" w:rsidP="00B16ACF">
      <w:pPr>
        <w:spacing w:before="120" w:after="120"/>
        <w:rPr>
          <w:rFonts w:eastAsia="Calibri" w:cs="Times New Roman"/>
          <w:szCs w:val="18"/>
        </w:rPr>
      </w:pPr>
      <w:hyperlink r:id="rId14" w:history="1">
        <w:r w:rsidR="009F1A4E" w:rsidRPr="002F663C">
          <w:rPr>
            <w:rFonts w:eastAsia="Calibri" w:cs="Times New Roman"/>
            <w:color w:val="0000FF"/>
            <w:szCs w:val="18"/>
            <w:u w:val="single"/>
          </w:rPr>
          <w:t>https://www.govinfo.gov/content/pkg/FR-2024-12-23/pdf/2024-30594.pdf</w:t>
        </w:r>
      </w:hyperlink>
    </w:p>
    <w:p w14:paraId="3D6BE2A2" w14:textId="77777777" w:rsidR="000A27B8" w:rsidRPr="002F663C" w:rsidRDefault="009F1A4E" w:rsidP="00B16ACF">
      <w:pPr>
        <w:spacing w:before="120" w:after="120"/>
        <w:rPr>
          <w:rFonts w:eastAsia="Calibri" w:cs="Times New Roman"/>
          <w:szCs w:val="18"/>
        </w:rPr>
      </w:pPr>
      <w:r w:rsidRPr="002F663C">
        <w:rPr>
          <w:rFonts w:eastAsia="Calibri" w:cs="Times New Roman"/>
          <w:szCs w:val="18"/>
        </w:rPr>
        <w:t xml:space="preserve">This extension of comment period and the notice of proposed rulemaking notified as </w:t>
      </w:r>
      <w:hyperlink r:id="rId15" w:history="1">
        <w:r w:rsidRPr="002F663C">
          <w:rPr>
            <w:rFonts w:eastAsia="Calibri" w:cs="Times New Roman"/>
            <w:color w:val="0000FF"/>
            <w:szCs w:val="18"/>
            <w:u w:val="single"/>
          </w:rPr>
          <w:t>G/TBT/N/USA/480/Rev.1</w:t>
        </w:r>
      </w:hyperlink>
      <w:r w:rsidRPr="002F663C">
        <w:rPr>
          <w:rFonts w:eastAsia="Calibri" w:cs="Times New Roman"/>
          <w:szCs w:val="18"/>
        </w:rPr>
        <w:t xml:space="preserve"> are identified by Docket Number FRA-2023-0064. The Docket Folder is available on Regulations.gov at </w:t>
      </w:r>
      <w:hyperlink r:id="rId16" w:history="1">
        <w:r w:rsidRPr="002F663C">
          <w:rPr>
            <w:rFonts w:eastAsia="Calibri" w:cs="Times New Roman"/>
            <w:color w:val="0000FF"/>
            <w:szCs w:val="18"/>
            <w:u w:val="single"/>
          </w:rPr>
          <w:t>https://www.regulations.gov/docket/FRA-2023-0064/document</w:t>
        </w:r>
      </w:hyperlink>
      <w:r w:rsidRPr="002F663C">
        <w:rPr>
          <w:rFonts w:eastAsia="Calibri" w:cs="Times New Roman"/>
          <w:szCs w:val="18"/>
        </w:rPr>
        <w:t xml:space="preserve"> and provides access to primary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11 January 2025 will be shared with the FRA and will also be submitted to the </w:t>
      </w:r>
      <w:hyperlink r:id="rId2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6EE23777" w14:textId="77777777" w:rsidR="006C5A96" w:rsidRDefault="009F1A4E" w:rsidP="006C5A96">
      <w:pPr>
        <w:jc w:val="center"/>
        <w:rPr>
          <w:b/>
        </w:rPr>
      </w:pPr>
      <w:r w:rsidRPr="003971FF">
        <w:rPr>
          <w:b/>
        </w:rPr>
        <w:t>__________</w:t>
      </w:r>
    </w:p>
    <w:p w14:paraId="7776CF88" w14:textId="77777777" w:rsidR="004D4D19" w:rsidRDefault="004D4D19" w:rsidP="007F38C2">
      <w:pPr>
        <w:jc w:val="center"/>
        <w:rPr>
          <w:b/>
        </w:rPr>
      </w:pPr>
    </w:p>
    <w:p w14:paraId="240485A0" w14:textId="77777777" w:rsidR="00A1565D" w:rsidRDefault="00A1565D" w:rsidP="003971FF">
      <w:pPr>
        <w:jc w:val="center"/>
        <w:rPr>
          <w:b/>
        </w:rPr>
      </w:pPr>
    </w:p>
    <w:sectPr w:rsidR="00A1565D" w:rsidSect="006C5A96">
      <w:headerReference w:type="even" r:id="rId22"/>
      <w:headerReference w:type="default" r:id="rId23"/>
      <w:footerReference w:type="even" r:id="rId24"/>
      <w:footerReference w:type="default" r:id="rId25"/>
      <w:head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6F80" w14:textId="77777777" w:rsidR="009F1A4E" w:rsidRDefault="009F1A4E">
      <w:r>
        <w:separator/>
      </w:r>
    </w:p>
  </w:endnote>
  <w:endnote w:type="continuationSeparator" w:id="0">
    <w:p w14:paraId="4307FFE4" w14:textId="77777777" w:rsidR="009F1A4E" w:rsidRDefault="009F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54DE" w14:textId="77777777" w:rsidR="00544326" w:rsidRPr="00DD3DD7" w:rsidRDefault="009F1A4E"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5CBC" w14:textId="77777777" w:rsidR="00544326" w:rsidRPr="00DD3DD7" w:rsidRDefault="009F1A4E"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88D19" w14:textId="77777777" w:rsidR="004D3A6A" w:rsidRDefault="009F1A4E" w:rsidP="00ED54E0">
      <w:r>
        <w:separator/>
      </w:r>
    </w:p>
  </w:footnote>
  <w:footnote w:type="continuationSeparator" w:id="0">
    <w:p w14:paraId="37007476" w14:textId="77777777" w:rsidR="004D3A6A" w:rsidRDefault="009F1A4E" w:rsidP="00ED54E0">
      <w:r>
        <w:continuationSeparator/>
      </w:r>
    </w:p>
  </w:footnote>
  <w:footnote w:id="1">
    <w:p w14:paraId="7ADA0D1A" w14:textId="77777777" w:rsidR="007F6EA2" w:rsidRDefault="009F1A4E">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9611" w14:textId="77777777" w:rsidR="00DD3DD7" w:rsidRDefault="009F1A4E"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5873F373" w14:textId="77777777" w:rsidR="004D4D19" w:rsidRPr="00DD3DD7" w:rsidRDefault="004D4D19" w:rsidP="00DD3DD7">
    <w:pPr>
      <w:pStyle w:val="En-tte"/>
      <w:pBdr>
        <w:bottom w:val="single" w:sz="4" w:space="1" w:color="auto"/>
      </w:pBdr>
      <w:tabs>
        <w:tab w:val="clear" w:pos="4513"/>
        <w:tab w:val="clear" w:pos="9027"/>
      </w:tabs>
      <w:jc w:val="center"/>
    </w:pPr>
  </w:p>
  <w:p w14:paraId="734F647B" w14:textId="77777777" w:rsidR="00DD3DD7" w:rsidRPr="00DD3DD7" w:rsidRDefault="009F1A4E"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7CEBD7E"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3FD9" w14:textId="77777777" w:rsidR="00DD3DD7" w:rsidRPr="00DD3DD7" w:rsidRDefault="009F1A4E" w:rsidP="00DD3DD7">
    <w:pPr>
      <w:pStyle w:val="En-tte"/>
      <w:pBdr>
        <w:bottom w:val="single" w:sz="4" w:space="1" w:color="auto"/>
      </w:pBdr>
      <w:tabs>
        <w:tab w:val="clear" w:pos="4513"/>
        <w:tab w:val="clear" w:pos="9027"/>
      </w:tabs>
      <w:jc w:val="center"/>
    </w:pPr>
    <w:bookmarkStart w:id="3" w:name="spsSymbolHeader"/>
    <w:r w:rsidRPr="00DD3DD7">
      <w:t>G/TBT/N/USA/480/Rev.1/Add.1</w:t>
    </w:r>
    <w:bookmarkEnd w:id="3"/>
  </w:p>
  <w:p w14:paraId="0B613D54" w14:textId="77777777" w:rsidR="00DD3DD7" w:rsidRPr="00DD3DD7" w:rsidRDefault="00DD3DD7" w:rsidP="00DD3DD7">
    <w:pPr>
      <w:pStyle w:val="En-tte"/>
      <w:pBdr>
        <w:bottom w:val="single" w:sz="4" w:space="1" w:color="auto"/>
      </w:pBdr>
      <w:tabs>
        <w:tab w:val="clear" w:pos="4513"/>
        <w:tab w:val="clear" w:pos="9027"/>
      </w:tabs>
      <w:jc w:val="center"/>
    </w:pPr>
  </w:p>
  <w:p w14:paraId="2C7A7CA9" w14:textId="77777777" w:rsidR="00DD3DD7" w:rsidRPr="00DD3DD7" w:rsidRDefault="009F1A4E"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20D1B42"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1004" w14:paraId="16318123" w14:textId="77777777" w:rsidTr="00544326">
      <w:trPr>
        <w:trHeight w:val="240"/>
        <w:jc w:val="center"/>
      </w:trPr>
      <w:tc>
        <w:tcPr>
          <w:tcW w:w="3794" w:type="dxa"/>
          <w:shd w:val="clear" w:color="auto" w:fill="FFFFFF"/>
          <w:tcMar>
            <w:left w:w="108" w:type="dxa"/>
            <w:right w:w="108" w:type="dxa"/>
          </w:tcMar>
          <w:vAlign w:val="center"/>
        </w:tcPr>
        <w:p w14:paraId="59EC2056"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2A16F23" w14:textId="77777777" w:rsidR="00ED54E0" w:rsidRPr="00182B84" w:rsidRDefault="009F1A4E" w:rsidP="00425DC5">
          <w:pPr>
            <w:jc w:val="right"/>
            <w:rPr>
              <w:b/>
              <w:color w:val="FF0000"/>
              <w:szCs w:val="16"/>
            </w:rPr>
          </w:pPr>
          <w:r>
            <w:rPr>
              <w:b/>
              <w:color w:val="FF0000"/>
              <w:szCs w:val="16"/>
            </w:rPr>
            <w:t xml:space="preserve"> </w:t>
          </w:r>
        </w:p>
      </w:tc>
    </w:tr>
    <w:tr w:rsidR="00371004" w14:paraId="650F7FC5" w14:textId="77777777" w:rsidTr="00544326">
      <w:trPr>
        <w:trHeight w:val="213"/>
        <w:jc w:val="center"/>
      </w:trPr>
      <w:tc>
        <w:tcPr>
          <w:tcW w:w="3794" w:type="dxa"/>
          <w:vMerge w:val="restart"/>
          <w:shd w:val="clear" w:color="auto" w:fill="FFFFFF"/>
          <w:tcMar>
            <w:left w:w="0" w:type="dxa"/>
            <w:right w:w="0" w:type="dxa"/>
          </w:tcMar>
        </w:tcPr>
        <w:p w14:paraId="0433D304" w14:textId="77777777" w:rsidR="00ED54E0" w:rsidRPr="00182B84" w:rsidRDefault="009F1A4E" w:rsidP="00425DC5">
          <w:pPr>
            <w:jc w:val="left"/>
          </w:pPr>
          <w:r w:rsidRPr="00182B84">
            <w:rPr>
              <w:noProof/>
              <w:lang w:val="en-US"/>
            </w:rPr>
            <w:drawing>
              <wp:inline distT="0" distB="0" distL="0" distR="0" wp14:anchorId="1414CF89" wp14:editId="7D6A876B">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477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332F5E0" w14:textId="77777777" w:rsidR="00ED54E0" w:rsidRPr="00182B84" w:rsidRDefault="00ED54E0" w:rsidP="00425DC5">
          <w:pPr>
            <w:jc w:val="right"/>
            <w:rPr>
              <w:b/>
              <w:szCs w:val="16"/>
            </w:rPr>
          </w:pPr>
        </w:p>
      </w:tc>
    </w:tr>
    <w:tr w:rsidR="00371004" w14:paraId="62D15BE8" w14:textId="77777777" w:rsidTr="00544326">
      <w:trPr>
        <w:trHeight w:val="868"/>
        <w:jc w:val="center"/>
      </w:trPr>
      <w:tc>
        <w:tcPr>
          <w:tcW w:w="3794" w:type="dxa"/>
          <w:vMerge/>
          <w:shd w:val="clear" w:color="auto" w:fill="FFFFFF"/>
          <w:tcMar>
            <w:left w:w="108" w:type="dxa"/>
            <w:right w:w="108" w:type="dxa"/>
          </w:tcMar>
        </w:tcPr>
        <w:p w14:paraId="1EA589E7"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FA81485" w14:textId="77777777" w:rsidR="00DD3DD7" w:rsidRPr="002F663C" w:rsidRDefault="009F1A4E" w:rsidP="00DD3DD7">
          <w:pPr>
            <w:jc w:val="right"/>
            <w:rPr>
              <w:rFonts w:eastAsia="Calibri" w:cs="Times New Roman"/>
              <w:b/>
              <w:szCs w:val="16"/>
            </w:rPr>
          </w:pPr>
          <w:bookmarkStart w:id="4" w:name="bmkSymbols"/>
          <w:r w:rsidRPr="002F663C">
            <w:rPr>
              <w:rFonts w:eastAsia="Calibri" w:cs="Times New Roman"/>
              <w:b/>
              <w:szCs w:val="16"/>
            </w:rPr>
            <w:t>G/TBT/N/USA/480/Rev.1/Add.1</w:t>
          </w:r>
          <w:bookmarkEnd w:id="4"/>
        </w:p>
        <w:p w14:paraId="7E281598" w14:textId="77777777" w:rsidR="00C14444" w:rsidRPr="00C14444" w:rsidRDefault="00C14444" w:rsidP="00C14444">
          <w:pPr>
            <w:jc w:val="center"/>
            <w:rPr>
              <w:szCs w:val="16"/>
            </w:rPr>
          </w:pPr>
        </w:p>
      </w:tc>
    </w:tr>
    <w:tr w:rsidR="00371004" w14:paraId="581453D9" w14:textId="77777777" w:rsidTr="00544326">
      <w:trPr>
        <w:trHeight w:val="240"/>
        <w:jc w:val="center"/>
      </w:trPr>
      <w:tc>
        <w:tcPr>
          <w:tcW w:w="3794" w:type="dxa"/>
          <w:vMerge/>
          <w:shd w:val="clear" w:color="auto" w:fill="FFFFFF"/>
          <w:tcMar>
            <w:left w:w="108" w:type="dxa"/>
            <w:right w:w="108" w:type="dxa"/>
          </w:tcMar>
          <w:vAlign w:val="center"/>
        </w:tcPr>
        <w:p w14:paraId="14BFBE82" w14:textId="77777777" w:rsidR="00ED54E0" w:rsidRPr="00182B84" w:rsidRDefault="00ED54E0" w:rsidP="00425DC5"/>
      </w:tc>
      <w:tc>
        <w:tcPr>
          <w:tcW w:w="5448" w:type="dxa"/>
          <w:gridSpan w:val="2"/>
          <w:shd w:val="clear" w:color="auto" w:fill="FFFFFF"/>
          <w:tcMar>
            <w:left w:w="108" w:type="dxa"/>
            <w:right w:w="108" w:type="dxa"/>
          </w:tcMar>
          <w:vAlign w:val="center"/>
        </w:tcPr>
        <w:p w14:paraId="1AFC31EF" w14:textId="510B3803" w:rsidR="00ED54E0" w:rsidRPr="00182B84" w:rsidRDefault="009F1A4E" w:rsidP="00425DC5">
          <w:pPr>
            <w:jc w:val="right"/>
            <w:rPr>
              <w:szCs w:val="16"/>
            </w:rPr>
          </w:pPr>
          <w:bookmarkStart w:id="5" w:name="bmkDate"/>
          <w:bookmarkEnd w:id="5"/>
          <w:r>
            <w:rPr>
              <w:szCs w:val="16"/>
            </w:rPr>
            <w:t>8 January 2025</w:t>
          </w:r>
        </w:p>
      </w:tc>
    </w:tr>
    <w:tr w:rsidR="00371004" w14:paraId="7CB0A0FF"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EE18440" w14:textId="581AD2EF" w:rsidR="00ED54E0" w:rsidRPr="00182B84" w:rsidRDefault="009F1A4E"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2E3F8C">
            <w:rPr>
              <w:rFonts w:eastAsia="Calibri" w:cs="Times New Roman"/>
              <w:color w:val="FF0000"/>
              <w:szCs w:val="16"/>
            </w:rPr>
            <w:t>-0143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C9B4B9D" w14:textId="77777777" w:rsidR="00ED54E0" w:rsidRPr="00182B84" w:rsidRDefault="009F1A4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71004" w14:paraId="39A2EDE3"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1D441C" w14:textId="77777777" w:rsidR="00ED54E0" w:rsidRPr="00182B84" w:rsidRDefault="009F1A4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0CAA82F" w14:textId="77777777" w:rsidR="00ED54E0" w:rsidRPr="00182B84" w:rsidRDefault="009F1A4E"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3A8CFD00"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A7A0E86">
      <w:start w:val="1"/>
      <w:numFmt w:val="decimal"/>
      <w:pStyle w:val="SummaryText"/>
      <w:lvlText w:val="%1."/>
      <w:lvlJc w:val="left"/>
      <w:pPr>
        <w:ind w:left="360" w:hanging="360"/>
      </w:pPr>
    </w:lvl>
    <w:lvl w:ilvl="1" w:tplc="818AFA90" w:tentative="1">
      <w:start w:val="1"/>
      <w:numFmt w:val="lowerLetter"/>
      <w:lvlText w:val="%2."/>
      <w:lvlJc w:val="left"/>
      <w:pPr>
        <w:ind w:left="1080" w:hanging="360"/>
      </w:pPr>
    </w:lvl>
    <w:lvl w:ilvl="2" w:tplc="20BC21AA" w:tentative="1">
      <w:start w:val="1"/>
      <w:numFmt w:val="lowerRoman"/>
      <w:lvlText w:val="%3."/>
      <w:lvlJc w:val="right"/>
      <w:pPr>
        <w:ind w:left="1800" w:hanging="180"/>
      </w:pPr>
    </w:lvl>
    <w:lvl w:ilvl="3" w:tplc="F7D07C0E" w:tentative="1">
      <w:start w:val="1"/>
      <w:numFmt w:val="decimal"/>
      <w:lvlText w:val="%4."/>
      <w:lvlJc w:val="left"/>
      <w:pPr>
        <w:ind w:left="2520" w:hanging="360"/>
      </w:pPr>
    </w:lvl>
    <w:lvl w:ilvl="4" w:tplc="8C82BB6A" w:tentative="1">
      <w:start w:val="1"/>
      <w:numFmt w:val="lowerLetter"/>
      <w:lvlText w:val="%5."/>
      <w:lvlJc w:val="left"/>
      <w:pPr>
        <w:ind w:left="3240" w:hanging="360"/>
      </w:pPr>
    </w:lvl>
    <w:lvl w:ilvl="5" w:tplc="7086593E" w:tentative="1">
      <w:start w:val="1"/>
      <w:numFmt w:val="lowerRoman"/>
      <w:lvlText w:val="%6."/>
      <w:lvlJc w:val="right"/>
      <w:pPr>
        <w:ind w:left="3960" w:hanging="180"/>
      </w:pPr>
    </w:lvl>
    <w:lvl w:ilvl="6" w:tplc="1696D642" w:tentative="1">
      <w:start w:val="1"/>
      <w:numFmt w:val="decimal"/>
      <w:lvlText w:val="%7."/>
      <w:lvlJc w:val="left"/>
      <w:pPr>
        <w:ind w:left="4680" w:hanging="360"/>
      </w:pPr>
    </w:lvl>
    <w:lvl w:ilvl="7" w:tplc="507AE6BA" w:tentative="1">
      <w:start w:val="1"/>
      <w:numFmt w:val="lowerLetter"/>
      <w:lvlText w:val="%8."/>
      <w:lvlJc w:val="left"/>
      <w:pPr>
        <w:ind w:left="5400" w:hanging="360"/>
      </w:pPr>
    </w:lvl>
    <w:lvl w:ilvl="8" w:tplc="1B90D23C" w:tentative="1">
      <w:start w:val="1"/>
      <w:numFmt w:val="lowerRoman"/>
      <w:lvlText w:val="%9."/>
      <w:lvlJc w:val="right"/>
      <w:pPr>
        <w:ind w:left="6120" w:hanging="180"/>
      </w:pPr>
    </w:lvl>
  </w:abstractNum>
  <w:num w:numId="1" w16cid:durableId="1475836233">
    <w:abstractNumId w:val="9"/>
  </w:num>
  <w:num w:numId="2" w16cid:durableId="445466189">
    <w:abstractNumId w:val="7"/>
  </w:num>
  <w:num w:numId="3" w16cid:durableId="760755024">
    <w:abstractNumId w:val="6"/>
  </w:num>
  <w:num w:numId="4" w16cid:durableId="967708652">
    <w:abstractNumId w:val="5"/>
  </w:num>
  <w:num w:numId="5" w16cid:durableId="717166345">
    <w:abstractNumId w:val="4"/>
  </w:num>
  <w:num w:numId="6" w16cid:durableId="1797062912">
    <w:abstractNumId w:val="12"/>
  </w:num>
  <w:num w:numId="7" w16cid:durableId="59866010">
    <w:abstractNumId w:val="11"/>
  </w:num>
  <w:num w:numId="8" w16cid:durableId="140998042">
    <w:abstractNumId w:val="10"/>
  </w:num>
  <w:num w:numId="9" w16cid:durableId="35355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0726165">
    <w:abstractNumId w:val="13"/>
  </w:num>
  <w:num w:numId="11" w16cid:durableId="1705791505">
    <w:abstractNumId w:val="8"/>
  </w:num>
  <w:num w:numId="12" w16cid:durableId="1206596387">
    <w:abstractNumId w:val="3"/>
  </w:num>
  <w:num w:numId="13" w16cid:durableId="217739780">
    <w:abstractNumId w:val="2"/>
  </w:num>
  <w:num w:numId="14" w16cid:durableId="302388769">
    <w:abstractNumId w:val="1"/>
  </w:num>
  <w:num w:numId="15" w16cid:durableId="1234512008">
    <w:abstractNumId w:val="0"/>
  </w:num>
  <w:num w:numId="16" w16cid:durableId="2029598062">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27B8"/>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E3F8C"/>
    <w:rsid w:val="002F663C"/>
    <w:rsid w:val="00304F14"/>
    <w:rsid w:val="003156C6"/>
    <w:rsid w:val="00327D40"/>
    <w:rsid w:val="00335575"/>
    <w:rsid w:val="003572B4"/>
    <w:rsid w:val="00370A55"/>
    <w:rsid w:val="00371004"/>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7F6F1D"/>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1A4E"/>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E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23/html/2024-30594.htm" TargetMode="External"/><Relationship Id="rId18" Type="http://schemas.openxmlformats.org/officeDocument/2006/relationships/hyperlink" Target="mailto:usatbtep@nist.gov"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www.regulations.gov/docket/FRA-2023-0064/document" TargetMode="External"/><Relationship Id="rId7" Type="http://schemas.openxmlformats.org/officeDocument/2006/relationships/footnotes" Target="footnotes.xml"/><Relationship Id="rId12" Type="http://schemas.openxmlformats.org/officeDocument/2006/relationships/hyperlink" Target="https://www.ecfr.gov/current/title-49/subtitle-B/chapter-II/part-236" TargetMode="External"/><Relationship Id="rId17" Type="http://schemas.openxmlformats.org/officeDocument/2006/relationships/hyperlink" Target="http://www.regulations.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regulations.gov/docket/FRA-2023-0064/document" TargetMode="External"/><Relationship Id="rId20" Type="http://schemas.openxmlformats.org/officeDocument/2006/relationships/hyperlink" Target="https://24timezones.com/time-zone/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10-28/pdf/2024-24559.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ping.wto.org/en/Search?viewData=G/TBT/N/USA/480/Rev.1"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eping.wto.org/en/Search?viewData=G/TBT/N/USA/480/Rev.1" TargetMode="External"/><Relationship Id="rId19" Type="http://schemas.openxmlformats.org/officeDocument/2006/relationships/hyperlink" Target="http://time-time.net/times/time-zones/usa-canada/current-eastern-time-est.php" TargetMode="External"/><Relationship Id="rId4" Type="http://schemas.openxmlformats.org/officeDocument/2006/relationships/styles" Target="styles.xml"/><Relationship Id="rId9" Type="http://schemas.openxmlformats.org/officeDocument/2006/relationships/hyperlink" Target="https://www.govinfo.gov/content/pkg/FR-2024-10-28/pdf/2024-24559.pdf" TargetMode="External"/><Relationship Id="rId14" Type="http://schemas.openxmlformats.org/officeDocument/2006/relationships/hyperlink" Target="https://www.govinfo.gov/content/pkg/FR-2024-12-23/pdf/2024-30594.pdf"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F7F44D6-6107-4106-82FC-0A1E7F66CE3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2025-01-08T09:18:00Z</dcterms:created>
  <dcterms:modified xsi:type="dcterms:W3CDTF">2025-01-08T10:05:00Z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