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95FED" w14:textId="77777777" w:rsidR="002D78C9" w:rsidRDefault="00FC5B00" w:rsidP="00DD3DD7">
      <w:pPr>
        <w:pStyle w:val="Title"/>
      </w:pPr>
      <w:r>
        <w:t>$</w:t>
      </w:r>
      <w:r w:rsidRPr="002F663C">
        <w:t>NOTIFICATION</w:t>
      </w:r>
    </w:p>
    <w:p w14:paraId="1851F40C" w14:textId="77777777" w:rsidR="002F663C" w:rsidRPr="002F663C" w:rsidRDefault="00FC5B00" w:rsidP="00DD3DD7">
      <w:pPr>
        <w:pStyle w:val="Title3"/>
      </w:pPr>
      <w:r w:rsidRPr="002F663C">
        <w:t>Addendum</w:t>
      </w:r>
    </w:p>
    <w:p w14:paraId="1B0C27E2" w14:textId="77777777" w:rsidR="002F663C" w:rsidRDefault="00FC5B00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Canada</w:t>
      </w:r>
      <w:r w:rsidRPr="002F663C">
        <w:rPr>
          <w:rFonts w:eastAsia="Calibri" w:cs="Times New Roman"/>
        </w:rPr>
        <w:t>.</w:t>
      </w:r>
    </w:p>
    <w:p w14:paraId="3C62D36E" w14:textId="77777777" w:rsidR="001E2E4A" w:rsidRPr="002F663C" w:rsidRDefault="001E2E4A" w:rsidP="001E2E4A">
      <w:pPr>
        <w:rPr>
          <w:rFonts w:eastAsia="Calibri" w:cs="Times New Roman"/>
        </w:rPr>
      </w:pPr>
    </w:p>
    <w:p w14:paraId="365603FE" w14:textId="77777777" w:rsidR="002F663C" w:rsidRPr="002F663C" w:rsidRDefault="00FC5B00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CE409BB" w14:textId="77777777" w:rsidR="002F663C" w:rsidRDefault="002F663C" w:rsidP="002F663C">
      <w:pPr>
        <w:rPr>
          <w:rFonts w:eastAsia="Calibri" w:cs="Times New Roman"/>
        </w:rPr>
      </w:pPr>
    </w:p>
    <w:p w14:paraId="73561855" w14:textId="77777777" w:rsidR="00C14444" w:rsidRPr="002F663C" w:rsidRDefault="00C14444" w:rsidP="002F663C">
      <w:pPr>
        <w:rPr>
          <w:rFonts w:eastAsia="Calibri" w:cs="Times New Roman"/>
        </w:rPr>
      </w:pPr>
    </w:p>
    <w:p w14:paraId="48F06712" w14:textId="77777777" w:rsidR="002F663C" w:rsidRPr="002F663C" w:rsidRDefault="00FC5B00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Regulations Amending Certain Regulations Made Under the Food and Drugs Act (Agile Licensing)</w:t>
      </w:r>
    </w:p>
    <w:p w14:paraId="49AEF07C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975EF" w14:paraId="31E8571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74CA1CF" w14:textId="77777777" w:rsidR="002F663C" w:rsidRPr="002F663C" w:rsidRDefault="00FC5B00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975EF" w14:paraId="52302A69" w14:textId="77777777" w:rsidTr="00E9471B">
        <w:tc>
          <w:tcPr>
            <w:tcW w:w="851" w:type="dxa"/>
            <w:shd w:val="clear" w:color="auto" w:fill="auto"/>
          </w:tcPr>
          <w:p w14:paraId="396205D7" w14:textId="77777777" w:rsidR="002F663C" w:rsidRPr="00711F9C" w:rsidRDefault="00FC5B0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086E5F2" w14:textId="77777777" w:rsidR="002F663C" w:rsidRPr="002F663C" w:rsidRDefault="00FC5B0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2975EF" w14:paraId="65DC673D" w14:textId="77777777" w:rsidTr="00E9471B">
        <w:tc>
          <w:tcPr>
            <w:tcW w:w="851" w:type="dxa"/>
            <w:shd w:val="clear" w:color="auto" w:fill="auto"/>
          </w:tcPr>
          <w:p w14:paraId="1CD7F283" w14:textId="77777777" w:rsidR="002F663C" w:rsidRPr="00711F9C" w:rsidRDefault="00FC5B0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37F4DE7" w14:textId="77777777" w:rsidR="002F663C" w:rsidRPr="002F663C" w:rsidRDefault="00FC5B0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December 2024</w:t>
            </w:r>
          </w:p>
        </w:tc>
      </w:tr>
      <w:tr w:rsidR="002975EF" w14:paraId="709D35A3" w14:textId="77777777" w:rsidTr="00E9471B">
        <w:tc>
          <w:tcPr>
            <w:tcW w:w="851" w:type="dxa"/>
            <w:shd w:val="clear" w:color="auto" w:fill="auto"/>
          </w:tcPr>
          <w:p w14:paraId="53718492" w14:textId="77777777" w:rsidR="002F663C" w:rsidRPr="00711F9C" w:rsidRDefault="00FC5B0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4F7C714" w14:textId="77777777" w:rsidR="002F663C" w:rsidRPr="002F663C" w:rsidRDefault="00FC5B0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18 December 2024</w:t>
            </w:r>
          </w:p>
        </w:tc>
      </w:tr>
      <w:tr w:rsidR="002975EF" w14:paraId="57241C08" w14:textId="77777777" w:rsidTr="00E9471B">
        <w:tc>
          <w:tcPr>
            <w:tcW w:w="851" w:type="dxa"/>
            <w:shd w:val="clear" w:color="auto" w:fill="auto"/>
          </w:tcPr>
          <w:p w14:paraId="5A1F9338" w14:textId="77777777" w:rsidR="002F663C" w:rsidRPr="00711F9C" w:rsidRDefault="00FC5B0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85F9F7E" w14:textId="77777777" w:rsidR="002F663C" w:rsidRPr="002F663C" w:rsidRDefault="00FC5B0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Immediate coming into force (upon publication of the Regulations in Canada Gazette, Part II): </w:t>
            </w:r>
          </w:p>
          <w:p w14:paraId="57765793" w14:textId="77777777" w:rsidR="002F663C" w:rsidRPr="002F663C" w:rsidRDefault="00FC5B00" w:rsidP="00C14444">
            <w:pPr>
              <w:spacing w:before="60" w:after="6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• Public health emergency drugs (including terms and conditions, rolling reviews and pre-positioning);</w:t>
            </w:r>
          </w:p>
          <w:p w14:paraId="720A8215" w14:textId="77777777" w:rsidR="002F663C" w:rsidRPr="002F663C" w:rsidRDefault="00FC5B00" w:rsidP="00C14444">
            <w:pPr>
              <w:spacing w:before="60" w:after="6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• Assuring drug quality during manufacturing;</w:t>
            </w:r>
          </w:p>
          <w:p w14:paraId="182D5E1C" w14:textId="77777777" w:rsidR="002F663C" w:rsidRPr="002F663C" w:rsidRDefault="00FC5B00" w:rsidP="00C14444">
            <w:pPr>
              <w:spacing w:before="60" w:after="6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• Information considered to support the examination of a drug submission;</w:t>
            </w:r>
          </w:p>
          <w:p w14:paraId="1F802307" w14:textId="77777777" w:rsidR="002F663C" w:rsidRPr="002F663C" w:rsidRDefault="00FC5B00" w:rsidP="00C14444">
            <w:pPr>
              <w:spacing w:before="60" w:after="6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• Disaggregated clinical trial data for new drug submissions and supplements to new drug submissions; and</w:t>
            </w:r>
          </w:p>
          <w:p w14:paraId="11CC88A1" w14:textId="77777777" w:rsidR="002F663C" w:rsidRPr="002F663C" w:rsidRDefault="00FC5B00" w:rsidP="00C14444">
            <w:pPr>
              <w:spacing w:before="60" w:after="6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• Standards.</w:t>
            </w:r>
          </w:p>
          <w:p w14:paraId="6EA24E18" w14:textId="77777777" w:rsidR="002F663C" w:rsidRPr="002F663C" w:rsidRDefault="00FC5B00" w:rsidP="00C14444">
            <w:pPr>
              <w:spacing w:before="60" w:after="6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The following regulatory amendments, which require additional time to operationalize, will have a delayed coming into force:</w:t>
            </w:r>
          </w:p>
          <w:p w14:paraId="639AE51B" w14:textId="77777777" w:rsidR="002F663C" w:rsidRPr="002F663C" w:rsidRDefault="00FC5B00" w:rsidP="00C14444">
            <w:pPr>
              <w:spacing w:before="60" w:after="6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• Modernizing requirements for biologics – on July 1, 2025;</w:t>
            </w:r>
          </w:p>
          <w:p w14:paraId="48541659" w14:textId="77777777" w:rsidR="002F663C" w:rsidRPr="002F663C" w:rsidRDefault="00FC5B00" w:rsidP="00C14444">
            <w:pPr>
              <w:spacing w:before="60" w:after="6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• Terms and conditions for Class II, III and IV medical device licences – on January 1, 2026;</w:t>
            </w:r>
          </w:p>
          <w:p w14:paraId="5CEA307E" w14:textId="77777777" w:rsidR="002F663C" w:rsidRPr="002F663C" w:rsidRDefault="00FC5B00" w:rsidP="00C14444">
            <w:pPr>
              <w:spacing w:before="60" w:after="6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• Terms and conditions for all drugs – on April 1, 2027; and</w:t>
            </w:r>
          </w:p>
          <w:p w14:paraId="1F533BA6" w14:textId="77777777" w:rsidR="002F663C" w:rsidRPr="002F663C" w:rsidRDefault="00FC5B00" w:rsidP="00C14444">
            <w:pPr>
              <w:spacing w:before="60" w:after="6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• Risk management plans – on April 1, 2027.</w:t>
            </w:r>
          </w:p>
        </w:tc>
      </w:tr>
      <w:tr w:rsidR="002975EF" w14:paraId="43F74958" w14:textId="77777777" w:rsidTr="00E9471B">
        <w:tc>
          <w:tcPr>
            <w:tcW w:w="851" w:type="dxa"/>
            <w:shd w:val="clear" w:color="auto" w:fill="auto"/>
          </w:tcPr>
          <w:p w14:paraId="1F5438BF" w14:textId="77777777" w:rsidR="002F663C" w:rsidRPr="00711F9C" w:rsidRDefault="00FC5B0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D11C90E" w14:textId="77777777" w:rsidR="002F663C" w:rsidRPr="002F663C" w:rsidRDefault="00FC5B00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2E5B1DD7" w14:textId="77777777" w:rsidR="002F663C" w:rsidRPr="002F663C" w:rsidRDefault="00FC5B00" w:rsidP="00EB7B40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Regulations Amending Certain Regulations made under the Food and Drugs Act (Agile Licensing)</w:t>
            </w:r>
          </w:p>
          <w:p w14:paraId="78948F67" w14:textId="77777777" w:rsidR="002F663C" w:rsidRPr="002F663C" w:rsidRDefault="00890C51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FC5B00" w:rsidRPr="002F663C">
                <w:rPr>
                  <w:rFonts w:eastAsia="Calibri" w:cs="Times New Roman"/>
                  <w:color w:val="0000FF"/>
                  <w:u w:val="single"/>
                </w:rPr>
                <w:t>https://canadagazette.gc.ca/rp-pr/p2/2024/2024-12-18/html/sor-dors238-eng.html</w:t>
              </w:r>
            </w:hyperlink>
            <w:r w:rsidR="00FC5B00" w:rsidRPr="002F663C">
              <w:rPr>
                <w:rFonts w:eastAsia="Calibri" w:cs="Times New Roman"/>
              </w:rPr>
              <w:t xml:space="preserve"> (English)</w:t>
            </w:r>
          </w:p>
          <w:p w14:paraId="764E5B80" w14:textId="77777777" w:rsidR="002F663C" w:rsidRPr="002F663C" w:rsidRDefault="00890C51" w:rsidP="00EB7B40">
            <w:pPr>
              <w:spacing w:before="120" w:after="120"/>
              <w:rPr>
                <w:rFonts w:eastAsia="Calibri" w:cs="Times New Roman"/>
              </w:rPr>
            </w:pPr>
            <w:hyperlink r:id="rId10" w:tgtFrame="_blank" w:history="1">
              <w:r w:rsidR="00FC5B00" w:rsidRPr="002F663C">
                <w:rPr>
                  <w:rFonts w:eastAsia="Calibri" w:cs="Times New Roman"/>
                  <w:color w:val="0000FF"/>
                  <w:u w:val="single"/>
                </w:rPr>
                <w:t>https://canadagazette.gc.ca/rp-pr/p2/2024/2024-12-18/html/sor-dors238-fra.html</w:t>
              </w:r>
            </w:hyperlink>
            <w:r w:rsidR="00FC5B00" w:rsidRPr="002F663C">
              <w:rPr>
                <w:rFonts w:eastAsia="Calibri" w:cs="Times New Roman"/>
              </w:rPr>
              <w:t xml:space="preserve"> (French)</w:t>
            </w:r>
          </w:p>
          <w:p w14:paraId="37192BB8" w14:textId="77777777" w:rsidR="002F663C" w:rsidRPr="002F663C" w:rsidRDefault="00FC5B00" w:rsidP="00EB7B40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lastRenderedPageBreak/>
              <w:t>Order Amending the Fees in Respect of Drugs and Medical Devices Order (Public Health Emergency Drugs)</w:t>
            </w:r>
          </w:p>
          <w:p w14:paraId="5BAF132D" w14:textId="77777777" w:rsidR="002F663C" w:rsidRPr="002F663C" w:rsidRDefault="00890C51" w:rsidP="00EB7B40">
            <w:pPr>
              <w:spacing w:before="120" w:after="120"/>
              <w:rPr>
                <w:rFonts w:eastAsia="Calibri" w:cs="Times New Roman"/>
              </w:rPr>
            </w:pPr>
            <w:hyperlink r:id="rId11" w:tgtFrame="_blank" w:history="1">
              <w:r w:rsidR="00FC5B00" w:rsidRPr="002F663C">
                <w:rPr>
                  <w:rFonts w:eastAsia="Calibri" w:cs="Times New Roman"/>
                  <w:color w:val="0000FF"/>
                  <w:u w:val="single"/>
                </w:rPr>
                <w:t>https://canadagazette.gc.ca/rp-pr/p2/2024/2024-12-18/html/sor-dors247-eng.html</w:t>
              </w:r>
            </w:hyperlink>
            <w:r w:rsidR="00FC5B00" w:rsidRPr="002F663C">
              <w:rPr>
                <w:rFonts w:eastAsia="Calibri" w:cs="Times New Roman"/>
              </w:rPr>
              <w:t xml:space="preserve"> (English)</w:t>
            </w:r>
          </w:p>
          <w:p w14:paraId="667F7D50" w14:textId="77777777" w:rsidR="002F663C" w:rsidRPr="002F663C" w:rsidRDefault="00890C51" w:rsidP="00EB7B40">
            <w:pPr>
              <w:spacing w:before="120" w:after="120"/>
              <w:rPr>
                <w:rFonts w:eastAsia="Calibri" w:cs="Times New Roman"/>
              </w:rPr>
            </w:pPr>
            <w:hyperlink r:id="rId12" w:tgtFrame="_blank" w:history="1">
              <w:r w:rsidR="00FC5B00" w:rsidRPr="002F663C">
                <w:rPr>
                  <w:rFonts w:eastAsia="Calibri" w:cs="Times New Roman"/>
                  <w:color w:val="0000FF"/>
                  <w:u w:val="single"/>
                </w:rPr>
                <w:t>https://canadagazette.gc.ca/rp-pr/p2/2024/2024-12-18/html/sor-dors247-fra.html</w:t>
              </w:r>
            </w:hyperlink>
            <w:r w:rsidR="00FC5B00" w:rsidRPr="002F663C">
              <w:rPr>
                <w:rFonts w:eastAsia="Calibri" w:cs="Times New Roman"/>
              </w:rPr>
              <w:t xml:space="preserve"> (French)</w:t>
            </w:r>
          </w:p>
        </w:tc>
      </w:tr>
      <w:tr w:rsidR="002975EF" w14:paraId="736F7748" w14:textId="77777777" w:rsidTr="00E9471B">
        <w:tc>
          <w:tcPr>
            <w:tcW w:w="851" w:type="dxa"/>
            <w:shd w:val="clear" w:color="auto" w:fill="auto"/>
          </w:tcPr>
          <w:p w14:paraId="00C5824D" w14:textId="77777777" w:rsidR="002F663C" w:rsidRPr="00711F9C" w:rsidRDefault="00FC5B0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lastRenderedPageBreak/>
              <w:t>[ ]</w:t>
            </w:r>
          </w:p>
        </w:tc>
        <w:tc>
          <w:tcPr>
            <w:tcW w:w="8198" w:type="dxa"/>
            <w:shd w:val="clear" w:color="auto" w:fill="auto"/>
          </w:tcPr>
          <w:p w14:paraId="34246278" w14:textId="77777777" w:rsidR="002F663C" w:rsidRPr="002F663C" w:rsidRDefault="00FC5B0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72E26CA9" w14:textId="77777777" w:rsidR="002F663C" w:rsidRPr="002F663C" w:rsidRDefault="00FC5B00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2975EF" w14:paraId="2526FC91" w14:textId="77777777" w:rsidTr="00E9471B">
        <w:tc>
          <w:tcPr>
            <w:tcW w:w="851" w:type="dxa"/>
            <w:shd w:val="clear" w:color="auto" w:fill="auto"/>
          </w:tcPr>
          <w:p w14:paraId="163FEC56" w14:textId="77777777" w:rsidR="002F663C" w:rsidRPr="00711F9C" w:rsidRDefault="00FC5B0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D5A575D" w14:textId="77777777" w:rsidR="002F663C" w:rsidRPr="002F663C" w:rsidRDefault="00FC5B0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7DD6667E" w14:textId="77777777" w:rsidR="002F663C" w:rsidRPr="002F663C" w:rsidRDefault="00FC5B00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2975EF" w14:paraId="16D44771" w14:textId="77777777" w:rsidTr="00E9471B">
        <w:tc>
          <w:tcPr>
            <w:tcW w:w="851" w:type="dxa"/>
            <w:shd w:val="clear" w:color="auto" w:fill="auto"/>
          </w:tcPr>
          <w:p w14:paraId="63B405D7" w14:textId="77777777" w:rsidR="002F663C" w:rsidRPr="00711F9C" w:rsidRDefault="00FC5B0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C50E7AB" w14:textId="77777777" w:rsidR="002F663C" w:rsidRPr="002F663C" w:rsidRDefault="00FC5B00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2975EF" w14:paraId="6281F483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8C575FE" w14:textId="77777777" w:rsidR="002F663C" w:rsidRPr="00711F9C" w:rsidRDefault="00FC5B0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A4C7719" w14:textId="77777777" w:rsidR="002F663C" w:rsidRPr="002F663C" w:rsidRDefault="00FC5B0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2E8E3E4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1F8DB5A" w14:textId="77777777" w:rsidR="003971FF" w:rsidRPr="007F6EA2" w:rsidRDefault="00FC5B00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Health Canada has introduced new targeted provisions and regulatory amendments to the </w:t>
      </w:r>
      <w:r w:rsidRPr="002F663C">
        <w:rPr>
          <w:rFonts w:eastAsia="Calibri" w:cs="Times New Roman"/>
          <w:i/>
          <w:iCs/>
          <w:szCs w:val="18"/>
        </w:rPr>
        <w:t xml:space="preserve">Food and Drug Regulations </w:t>
      </w:r>
      <w:r w:rsidRPr="002F663C">
        <w:rPr>
          <w:rFonts w:eastAsia="Calibri" w:cs="Times New Roman"/>
          <w:szCs w:val="18"/>
        </w:rPr>
        <w:t xml:space="preserve">and </w:t>
      </w:r>
      <w:r w:rsidRPr="002F663C">
        <w:rPr>
          <w:rFonts w:eastAsia="Calibri" w:cs="Times New Roman"/>
          <w:i/>
          <w:iCs/>
          <w:szCs w:val="18"/>
        </w:rPr>
        <w:t>Medical Devices Regulations</w:t>
      </w:r>
      <w:r w:rsidRPr="002F663C">
        <w:rPr>
          <w:rFonts w:eastAsia="Calibri" w:cs="Times New Roman"/>
          <w:szCs w:val="18"/>
        </w:rPr>
        <w:t xml:space="preserve"> that deliver on the Department's modernization commitments and leverage long-standing policies and practices. The amendments take into account recent experience with regulatory agilities successfully piloted through the COVID-19 interim orders and their transition to regulations. These regulatory changes include distinct components that:</w:t>
      </w:r>
    </w:p>
    <w:p w14:paraId="6303DB31" w14:textId="77777777" w:rsidR="00B641A1" w:rsidRPr="002F663C" w:rsidRDefault="00FC5B00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Expand terms and conditions to apply to all drugs for improved post-market oversight;</w:t>
      </w:r>
    </w:p>
    <w:p w14:paraId="25FCDC4A" w14:textId="77777777" w:rsidR="00B641A1" w:rsidRPr="002F663C" w:rsidRDefault="00FC5B00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Broaden the scope of use of terms and conditions for Class II, III, and IV medical device licences;</w:t>
      </w:r>
    </w:p>
    <w:p w14:paraId="709BD587" w14:textId="77777777" w:rsidR="00B641A1" w:rsidRPr="002F663C" w:rsidRDefault="00FC5B00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Expand the flexibilities available for COVID-19 drugs to other public health emergency drugs, including the option of a rolling review;</w:t>
      </w:r>
    </w:p>
    <w:p w14:paraId="255B834C" w14:textId="77777777" w:rsidR="00B641A1" w:rsidRPr="002F663C" w:rsidRDefault="00FC5B00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Require Risk Management Plans for certain human drugs to better manage risks and uncertainties;</w:t>
      </w:r>
    </w:p>
    <w:p w14:paraId="42C8B9C6" w14:textId="77777777" w:rsidR="00B641A1" w:rsidRPr="002F663C" w:rsidRDefault="00FC5B00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Remove industry irritants regarding drug labelling and manufacturer's standards;</w:t>
      </w:r>
    </w:p>
    <w:p w14:paraId="298BBF7E" w14:textId="77777777" w:rsidR="00B641A1" w:rsidRPr="002F663C" w:rsidRDefault="00FC5B00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Modernize requirements for biologics and remove outdated requirements;</w:t>
      </w:r>
    </w:p>
    <w:p w14:paraId="713E0117" w14:textId="77777777" w:rsidR="00B641A1" w:rsidRPr="002F663C" w:rsidRDefault="00FC5B00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Clarify the Minister's authority to consider additional information in examining a drug submission;</w:t>
      </w:r>
    </w:p>
    <w:p w14:paraId="72BCB1A9" w14:textId="77777777" w:rsidR="00B641A1" w:rsidRPr="002F663C" w:rsidRDefault="00FC5B00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Clarify expectations that a drug be fabricated, packaged/labelled, tested and stored including during transportation, in a manner that assures its quality; and</w:t>
      </w:r>
    </w:p>
    <w:p w14:paraId="4BF88639" w14:textId="77777777" w:rsidR="00B641A1" w:rsidRPr="002F663C" w:rsidRDefault="00FC5B00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Require manufacturers to submit clinical trial data broken down by population sub-groups (disaggregated data) for certain drug submissions, as submitted to the U.S. Food and Drug Administration or the European Medicines Agency.</w:t>
      </w:r>
    </w:p>
    <w:p w14:paraId="18420CDB" w14:textId="77777777" w:rsidR="00B641A1" w:rsidRPr="002F663C" w:rsidRDefault="00FC5B0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Amendments are also required to the </w:t>
      </w:r>
      <w:r w:rsidRPr="002F663C">
        <w:rPr>
          <w:rFonts w:eastAsia="Calibri" w:cs="Times New Roman"/>
          <w:i/>
          <w:iCs/>
          <w:szCs w:val="18"/>
        </w:rPr>
        <w:t xml:space="preserve">Fees in Respect of Drugs and Medical Devices Order </w:t>
      </w:r>
      <w:r w:rsidRPr="002F663C">
        <w:rPr>
          <w:rFonts w:eastAsia="Calibri" w:cs="Times New Roman"/>
          <w:szCs w:val="18"/>
        </w:rPr>
        <w:t xml:space="preserve">for drugs and medical devices in order to ensure alignment with the amendments to the </w:t>
      </w:r>
      <w:r w:rsidRPr="002F663C">
        <w:rPr>
          <w:rFonts w:eastAsia="Calibri" w:cs="Times New Roman"/>
          <w:i/>
          <w:iCs/>
          <w:szCs w:val="18"/>
        </w:rPr>
        <w:t>Food and Drugs Regulations</w:t>
      </w:r>
      <w:r w:rsidRPr="002F663C">
        <w:rPr>
          <w:rFonts w:eastAsia="Calibri" w:cs="Times New Roman"/>
          <w:szCs w:val="18"/>
        </w:rPr>
        <w:t xml:space="preserve"> under Agile Licensing. They afford the same measures to public health emergency drugs that were afforded to COVID-19 drugs and continue to enable the Department to remit fees for certain COVID-19 drug submissions filed under the </w:t>
      </w:r>
      <w:r w:rsidRPr="002F663C">
        <w:rPr>
          <w:rFonts w:eastAsia="Calibri" w:cs="Times New Roman"/>
          <w:i/>
          <w:iCs/>
          <w:szCs w:val="18"/>
        </w:rPr>
        <w:t>Food and Drugs Regulations</w:t>
      </w:r>
      <w:r w:rsidRPr="002F663C">
        <w:rPr>
          <w:rFonts w:eastAsia="Calibri" w:cs="Times New Roman"/>
          <w:szCs w:val="18"/>
        </w:rPr>
        <w:t>.</w:t>
      </w:r>
    </w:p>
    <w:p w14:paraId="38F3E05C" w14:textId="77777777" w:rsidR="006C5A96" w:rsidRDefault="00FC5B00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EF3091A" w14:textId="77777777" w:rsidR="004D4D19" w:rsidRDefault="004D4D19" w:rsidP="007F38C2">
      <w:pPr>
        <w:jc w:val="center"/>
        <w:rPr>
          <w:b/>
        </w:rPr>
      </w:pPr>
    </w:p>
    <w:p w14:paraId="4CB128E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F9B1D" w14:textId="77777777" w:rsidR="00FC5B00" w:rsidRDefault="00FC5B00">
      <w:r>
        <w:separator/>
      </w:r>
    </w:p>
  </w:endnote>
  <w:endnote w:type="continuationSeparator" w:id="0">
    <w:p w14:paraId="5B6BF0A5" w14:textId="77777777" w:rsidR="00FC5B00" w:rsidRDefault="00FC5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CFDF8" w14:textId="77777777" w:rsidR="00544326" w:rsidRPr="00DD3DD7" w:rsidRDefault="00FC5B00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64D1E" w14:textId="77777777" w:rsidR="00544326" w:rsidRPr="00DD3DD7" w:rsidRDefault="00FC5B00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FB4C3" w14:textId="77777777" w:rsidR="00FC5B00" w:rsidRDefault="00FC5B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213BB" w14:textId="77777777" w:rsidR="004D3A6A" w:rsidRDefault="00FC5B00" w:rsidP="00ED54E0">
      <w:r>
        <w:separator/>
      </w:r>
    </w:p>
  </w:footnote>
  <w:footnote w:type="continuationSeparator" w:id="0">
    <w:p w14:paraId="246D90BD" w14:textId="77777777" w:rsidR="004D3A6A" w:rsidRDefault="00FC5B00" w:rsidP="00ED54E0">
      <w:r>
        <w:continuationSeparator/>
      </w:r>
    </w:p>
  </w:footnote>
  <w:footnote w:id="1">
    <w:p w14:paraId="126CFC06" w14:textId="77777777" w:rsidR="007F6EA2" w:rsidRDefault="00FC5B0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72C40" w14:textId="77777777" w:rsidR="00DD3DD7" w:rsidRDefault="00FC5B0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32195916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17B5F8F" w14:textId="77777777" w:rsidR="00DD3DD7" w:rsidRPr="00DD3DD7" w:rsidRDefault="00FC5B0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50DBE2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FFF4" w14:textId="77777777" w:rsidR="00DD3DD7" w:rsidRPr="00DD3DD7" w:rsidRDefault="00FC5B0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G/TBT/N/CAN/685/Add.2</w:t>
    </w:r>
    <w:bookmarkEnd w:id="3"/>
  </w:p>
  <w:p w14:paraId="64FD0F47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B3FF640" w14:textId="77777777" w:rsidR="00DD3DD7" w:rsidRPr="00DD3DD7" w:rsidRDefault="00FC5B0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FD6DED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975EF" w14:paraId="24539A2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9565B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6BBD8D" w14:textId="77777777" w:rsidR="00ED54E0" w:rsidRPr="00182B84" w:rsidRDefault="00FC5B00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975EF" w14:paraId="29D2952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64E5C8E" w14:textId="77777777" w:rsidR="00ED54E0" w:rsidRPr="00182B84" w:rsidRDefault="00FC5B00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999F542" wp14:editId="3262C6AF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63708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74193D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975EF" w14:paraId="085868D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EB0A30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96C182B" w14:textId="77777777" w:rsidR="00DD3DD7" w:rsidRPr="002F663C" w:rsidRDefault="00FC5B00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G/TBT/N/CAN/685/Add.2</w:t>
          </w:r>
          <w:bookmarkEnd w:id="4"/>
        </w:p>
        <w:p w14:paraId="32E7F96C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2975EF" w14:paraId="4AB2E09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BBF52C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B981BC" w14:textId="6170616D" w:rsidR="00ED54E0" w:rsidRPr="00182B84" w:rsidRDefault="00FC5B00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6 January 2025</w:t>
          </w:r>
        </w:p>
      </w:tc>
    </w:tr>
    <w:tr w:rsidR="002975EF" w14:paraId="76D55C63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B5ECBC9" w14:textId="1A8AD460" w:rsidR="00ED54E0" w:rsidRPr="00182B84" w:rsidRDefault="00FC5B00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25-</w:t>
          </w:r>
          <w:r w:rsidR="00890C51">
            <w:rPr>
              <w:rFonts w:eastAsia="Calibri" w:cs="Times New Roman"/>
              <w:color w:val="FF0000"/>
              <w:szCs w:val="16"/>
            </w:rPr>
            <w:t>0033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EBCAA13" w14:textId="77777777" w:rsidR="00ED54E0" w:rsidRPr="00182B84" w:rsidRDefault="00FC5B00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975EF" w14:paraId="5C48015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24638B9" w14:textId="77777777" w:rsidR="00ED54E0" w:rsidRPr="00182B84" w:rsidRDefault="00FC5B00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AFB0DAB" w14:textId="77777777" w:rsidR="00ED54E0" w:rsidRPr="00182B84" w:rsidRDefault="00FC5B00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English, French</w:t>
          </w:r>
          <w:bookmarkEnd w:id="7"/>
        </w:p>
      </w:tc>
    </w:tr>
  </w:tbl>
  <w:p w14:paraId="5168EEA7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094022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B8E95D4" w:tentative="1">
      <w:start w:val="1"/>
      <w:numFmt w:val="lowerLetter"/>
      <w:lvlText w:val="%2."/>
      <w:lvlJc w:val="left"/>
      <w:pPr>
        <w:ind w:left="1080" w:hanging="360"/>
      </w:pPr>
    </w:lvl>
    <w:lvl w:ilvl="2" w:tplc="8F0AF132" w:tentative="1">
      <w:start w:val="1"/>
      <w:numFmt w:val="lowerRoman"/>
      <w:lvlText w:val="%3."/>
      <w:lvlJc w:val="right"/>
      <w:pPr>
        <w:ind w:left="1800" w:hanging="180"/>
      </w:pPr>
    </w:lvl>
    <w:lvl w:ilvl="3" w:tplc="8C06677A" w:tentative="1">
      <w:start w:val="1"/>
      <w:numFmt w:val="decimal"/>
      <w:lvlText w:val="%4."/>
      <w:lvlJc w:val="left"/>
      <w:pPr>
        <w:ind w:left="2520" w:hanging="360"/>
      </w:pPr>
    </w:lvl>
    <w:lvl w:ilvl="4" w:tplc="4E1C0B7C" w:tentative="1">
      <w:start w:val="1"/>
      <w:numFmt w:val="lowerLetter"/>
      <w:lvlText w:val="%5."/>
      <w:lvlJc w:val="left"/>
      <w:pPr>
        <w:ind w:left="3240" w:hanging="360"/>
      </w:pPr>
    </w:lvl>
    <w:lvl w:ilvl="5" w:tplc="F9F6D724" w:tentative="1">
      <w:start w:val="1"/>
      <w:numFmt w:val="lowerRoman"/>
      <w:lvlText w:val="%6."/>
      <w:lvlJc w:val="right"/>
      <w:pPr>
        <w:ind w:left="3960" w:hanging="180"/>
      </w:pPr>
    </w:lvl>
    <w:lvl w:ilvl="6" w:tplc="F96EA012" w:tentative="1">
      <w:start w:val="1"/>
      <w:numFmt w:val="decimal"/>
      <w:lvlText w:val="%7."/>
      <w:lvlJc w:val="left"/>
      <w:pPr>
        <w:ind w:left="4680" w:hanging="360"/>
      </w:pPr>
    </w:lvl>
    <w:lvl w:ilvl="7" w:tplc="6A523974" w:tentative="1">
      <w:start w:val="1"/>
      <w:numFmt w:val="lowerLetter"/>
      <w:lvlText w:val="%8."/>
      <w:lvlJc w:val="left"/>
      <w:pPr>
        <w:ind w:left="5400" w:hanging="360"/>
      </w:pPr>
    </w:lvl>
    <w:lvl w:ilvl="8" w:tplc="9974798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19B69E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C3611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EACAF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54EFA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A00353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0DC17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4C8B4F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65E71A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2DE5A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770930478">
    <w:abstractNumId w:val="9"/>
  </w:num>
  <w:num w:numId="2" w16cid:durableId="372770967">
    <w:abstractNumId w:val="7"/>
  </w:num>
  <w:num w:numId="3" w16cid:durableId="872612998">
    <w:abstractNumId w:val="6"/>
  </w:num>
  <w:num w:numId="4" w16cid:durableId="1788116584">
    <w:abstractNumId w:val="5"/>
  </w:num>
  <w:num w:numId="5" w16cid:durableId="1707103167">
    <w:abstractNumId w:val="4"/>
  </w:num>
  <w:num w:numId="6" w16cid:durableId="95638987">
    <w:abstractNumId w:val="12"/>
  </w:num>
  <w:num w:numId="7" w16cid:durableId="1724602486">
    <w:abstractNumId w:val="11"/>
  </w:num>
  <w:num w:numId="8" w16cid:durableId="1763453019">
    <w:abstractNumId w:val="10"/>
  </w:num>
  <w:num w:numId="9" w16cid:durableId="1570448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535019">
    <w:abstractNumId w:val="13"/>
  </w:num>
  <w:num w:numId="11" w16cid:durableId="1754663315">
    <w:abstractNumId w:val="8"/>
  </w:num>
  <w:num w:numId="12" w16cid:durableId="610206167">
    <w:abstractNumId w:val="3"/>
  </w:num>
  <w:num w:numId="13" w16cid:durableId="1622103751">
    <w:abstractNumId w:val="2"/>
  </w:num>
  <w:num w:numId="14" w16cid:durableId="762649444">
    <w:abstractNumId w:val="1"/>
  </w:num>
  <w:num w:numId="15" w16cid:durableId="708527152">
    <w:abstractNumId w:val="0"/>
  </w:num>
  <w:num w:numId="16" w16cid:durableId="141408374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2914457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1541D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975EF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0C51"/>
    <w:rsid w:val="00893E85"/>
    <w:rsid w:val="008A0701"/>
    <w:rsid w:val="008B1018"/>
    <w:rsid w:val="008C42D2"/>
    <w:rsid w:val="008E2C13"/>
    <w:rsid w:val="008E372C"/>
    <w:rsid w:val="00917235"/>
    <w:rsid w:val="00992AEA"/>
    <w:rsid w:val="009A40CE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41A1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C5B00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5084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canadagazette.gc.ca/rp-pr/p2/2024/2024-12-18/html/sor-dors247-fra.htm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anadagazette.gc.ca/rp-pr/p2/2024/2024-12-18/html/sor-dors247-eng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canadagazette.gc.ca/rp-pr/p2/2024/2024-12-18/html/sor-dors238-fra.html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canadagazette.gc.ca/rp-pr/p2/2024/2024-12-18/html/sor-dors238-eng.html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4E74A8-533F-431C-AE6B-D9369C0DF7B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564</Words>
  <Characters>3612</Characters>
  <Application>Microsoft Office Word</Application>
  <DocSecurity>0</DocSecurity>
  <Lines>89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2025-01-06T15:13:00Z</dcterms:created>
  <dcterms:modified xsi:type="dcterms:W3CDTF">2025-01-06T15:23:00Z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