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5C4FF79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4252C04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18998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16AF348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CANADA</w:t>
            </w:r>
          </w:p>
          <w:p w:rsidR="00EA4725" w:rsidRPr="00441372" w:rsidP="00441372" w14:paraId="5A7E821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CF049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A66F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1C04C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Pesticides Regulatory Directorate (PRD), Health Canada</w:t>
            </w:r>
          </w:p>
        </w:tc>
      </w:tr>
      <w:tr w14:paraId="508B5C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4042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49353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Pesticide cyprodinil in or on various commodities (ICS: 65.020, 65.100, 67.040, 67.080)</w:t>
            </w:r>
          </w:p>
        </w:tc>
      </w:tr>
      <w:tr w14:paraId="2E4D2A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5C9C2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DEF0D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7CA20D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05A2BB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D0E54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591BB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D6EA6" w14:paraId="3FF53566" w14:textId="35C16B45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Proposed Maximum Residue Limit: Cyprodinil (PMRL2026-12)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 and French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 and 8</w:t>
            </w:r>
          </w:p>
        </w:tc>
      </w:tr>
      <w:tr w14:paraId="03F6B0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D0B43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9FAAF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objective of the notified document PMRL2026-12 is to consult on the listed maximum residue limits (MRLs) for cyprodinil that have been proposed by Health Canada's Pesticides Regulatory Directorate (PRD).</w:t>
            </w:r>
          </w:p>
          <w:p w:rsidR="00FE1332" w:rsidRPr="0065690F" w:rsidP="00441372" w14:paraId="366F2DB6" w14:textId="77777777">
            <w:pPr>
              <w:spacing w:before="120" w:after="120"/>
            </w:pPr>
            <w:r w:rsidRPr="002D6EA6">
              <w:rPr>
                <w:u w:val="single"/>
              </w:rPr>
              <w:t>MRL (ppm</w:t>
            </w:r>
            <w:r w:rsidRPr="0065690F">
              <w:t>)</w:t>
            </w:r>
            <w:r w:rsidRPr="002D6EA6">
              <w:rPr>
                <w:vertAlign w:val="superscript"/>
              </w:rPr>
              <w:t>1</w:t>
            </w:r>
            <w:r w:rsidRPr="0065690F">
              <w:t xml:space="preserve"> </w:t>
            </w:r>
            <w:r w:rsidRPr="002D6EA6">
              <w:rPr>
                <w:u w:val="single"/>
              </w:rPr>
              <w:t>Raw Agricultural Commodity (RAC) and/or Processed Commodity</w:t>
            </w:r>
          </w:p>
          <w:p w:rsidR="00FE1332" w:rsidRPr="0065690F" w:rsidP="002D6EA6" w14:paraId="62396061" w14:textId="22F50C47">
            <w:pPr>
              <w:tabs>
                <w:tab w:val="left" w:pos="1162"/>
              </w:tabs>
              <w:spacing w:before="120"/>
              <w:ind w:left="1162" w:hanging="1162"/>
            </w:pPr>
            <w:r w:rsidRPr="0065690F">
              <w:t xml:space="preserve">4.0 </w:t>
            </w:r>
            <w:r w:rsidR="002D6EA6">
              <w:tab/>
            </w:r>
            <w:r w:rsidRPr="0065690F">
              <w:t>Sugar apples</w:t>
            </w:r>
          </w:p>
          <w:p w:rsidR="00FE1332" w:rsidRPr="0065690F" w:rsidP="002D6EA6" w14:paraId="4E334B18" w14:textId="2DE4C64D">
            <w:pPr>
              <w:tabs>
                <w:tab w:val="left" w:pos="1162"/>
              </w:tabs>
              <w:spacing w:after="120"/>
              <w:ind w:left="1162" w:hanging="1162"/>
            </w:pPr>
            <w:r w:rsidRPr="0065690F">
              <w:t xml:space="preserve">2.0 </w:t>
            </w:r>
            <w:r w:rsidR="002D6EA6">
              <w:tab/>
            </w:r>
            <w:r w:rsidRPr="0065690F">
              <w:t>Tropical and subtropical fruits; small fruits; inedible peel (crop subgroup 24A)</w:t>
            </w:r>
          </w:p>
          <w:p w:rsidR="00FE1332" w:rsidRPr="002D6EA6" w:rsidP="00441372" w14:paraId="20D4BA1A" w14:textId="77777777">
            <w:pPr>
              <w:spacing w:before="120" w:after="120"/>
              <w:rPr>
                <w:sz w:val="16"/>
                <w:szCs w:val="20"/>
              </w:rPr>
            </w:pPr>
            <w:r w:rsidRPr="002D6EA6">
              <w:rPr>
                <w:sz w:val="16"/>
                <w:szCs w:val="20"/>
                <w:vertAlign w:val="superscript"/>
              </w:rPr>
              <w:t>1</w:t>
            </w:r>
            <w:r w:rsidRPr="002D6EA6">
              <w:rPr>
                <w:sz w:val="16"/>
                <w:szCs w:val="20"/>
              </w:rPr>
              <w:t xml:space="preserve"> ppm = parts per million</w:t>
            </w:r>
          </w:p>
          <w:p w:rsidR="00FE1332" w:rsidRPr="0065690F" w:rsidP="00441372" w14:paraId="1BF43DE1" w14:textId="77777777">
            <w:pPr>
              <w:spacing w:before="120" w:after="120"/>
            </w:pPr>
            <w:r w:rsidRPr="0065690F">
              <w:t>The commodities included in the listed crop groups/subgroups can be found on the</w:t>
            </w:r>
            <w:r w:rsidRPr="0065690F">
              <w:rPr>
                <w:i/>
                <w:iCs/>
              </w:rPr>
              <w:t xml:space="preserve"> Residue Chemistry Crop Groups </w:t>
            </w:r>
            <w:r w:rsidRPr="0065690F">
              <w:t>webpage (</w:t>
            </w:r>
            <w:hyperlink r:id="rId5" w:history="1">
              <w:r w:rsidRPr="0065690F">
                <w:rPr>
                  <w:color w:val="0000FF"/>
                  <w:u w:val="single"/>
                </w:rPr>
                <w:t>https://www.canada.ca/en/health-canada/services/consumer-product-safety/pesticides-pest-management/public/protecting-your-health-environment/pesticides-food/residue-chemistry-crop-groups.html</w:t>
              </w:r>
            </w:hyperlink>
            <w:r w:rsidRPr="0065690F">
              <w:t>) in the Pesticides section of the Canada.ca website.</w:t>
            </w:r>
          </w:p>
        </w:tc>
      </w:tr>
      <w:tr w14:paraId="306525B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E5228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69B58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C0F25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6520D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A8E05F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EB46C4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207 Cyprodinil</w:t>
            </w:r>
          </w:p>
          <w:p w:rsidR="00EA4725" w:rsidRPr="00441372" w:rsidP="00441372" w14:paraId="1AABFDB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3307E3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665E03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2D6EA6" w14:paraId="0D5668BB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6FC98D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441372" w14:paraId="6381225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Currently, there are no Codex MRLs listed for cyprodinil in or on the petitioned commodities according to the Codex Alimentarius Pesticide Index website.</w:t>
            </w:r>
          </w:p>
        </w:tc>
      </w:tr>
      <w:tr w14:paraId="15D355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0EDA1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FE1332" w:rsidRPr="0065690F" w:rsidP="002D6EA6" w14:paraId="27918CCD" w14:textId="1005EFC8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Health</w:t>
            </w:r>
            <w:r w:rsidR="002D6EA6">
              <w:t> </w:t>
            </w:r>
            <w:r w:rsidRPr="0065690F">
              <w:t xml:space="preserve">Canada website: </w:t>
            </w:r>
            <w:hyperlink r:id="rId6" w:history="1">
              <w:r w:rsidRPr="0065690F" w:rsidR="00EA4725">
                <w:rPr>
                  <w:color w:val="0000FF"/>
                  <w:u w:val="single"/>
                </w:rPr>
                <w:t>https://www.canada.ca/en/health-canada/services/consumer-product-safety/pesticides-pest-management/public/consultations.html</w:t>
              </w:r>
            </w:hyperlink>
            <w:r w:rsidRPr="0065690F">
              <w:t>, PMRL2026-12, posted: 29 September 2026</w:t>
            </w:r>
            <w:r w:rsidR="002D6EA6">
              <w:t xml:space="preserve"> </w:t>
            </w:r>
            <w:r w:rsidRPr="0065690F">
              <w:rPr>
                <w:bCs/>
              </w:rPr>
              <w:t>(available in English and French</w:t>
            </w:r>
            <w:r w:rsidRPr="0065690F">
              <w:rPr>
                <w:bCs/>
              </w:rPr>
              <w:t>)</w:t>
            </w:r>
          </w:p>
        </w:tc>
      </w:tr>
      <w:tr w14:paraId="318324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8CFAA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78C9B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Normally within four to five months from the posting of the Proposed MRL document on the Health Canada website.</w:t>
            </w:r>
          </w:p>
          <w:p w:rsidR="00EA4725" w:rsidRPr="00441372" w:rsidP="00441372" w14:paraId="02DE9EE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Normally within four to five months from the posting of the Proposed MRL document on the Health Canada website.</w:t>
            </w:r>
          </w:p>
        </w:tc>
      </w:tr>
      <w:tr w14:paraId="046A84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0A73D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0AF8A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On the date the measure is adopted.</w:t>
            </w:r>
          </w:p>
          <w:p w:rsidR="00EA4725" w:rsidRPr="00441372" w:rsidP="00441372" w14:paraId="02F176E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1D288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6F0E1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7CBE5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13 December 2026</w:t>
            </w:r>
          </w:p>
          <w:p w:rsidR="00EA4725" w:rsidRPr="00441372" w:rsidP="00441372" w14:paraId="1C9F2EC9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2A4713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4C861F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66211B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B4DCDE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The electronic version of the regulatory text can be downloaded at:</w:t>
            </w:r>
          </w:p>
          <w:p w:rsidR="00EA4725" w:rsidRPr="0065690F" w:rsidP="00F3021D" w14:paraId="22E00004" w14:textId="77777777">
            <w:pPr>
              <w:keepNext/>
              <w:keepLines/>
              <w:rPr>
                <w:bCs/>
              </w:rPr>
            </w:pP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https://www.canada.ca/en/health-canada/services/consumer-product-safety/pesticides-pest-management/public/consultations/proposed-maximum-residue-limit/2026/cyprodinil-sugar-apples/document.html</w:t>
              </w:r>
            </w:hyperlink>
            <w:r w:rsidRPr="0065690F" w:rsidR="00EA797E">
              <w:rPr>
                <w:bCs/>
              </w:rPr>
              <w:t xml:space="preserve"> (English)</w:t>
            </w:r>
          </w:p>
          <w:p w:rsidR="00EA4725" w:rsidRPr="0065690F" w:rsidP="00F3021D" w14:paraId="066D53D3" w14:textId="77777777">
            <w:pPr>
              <w:keepNext/>
              <w:keepLines/>
              <w:rPr>
                <w:bCs/>
              </w:rPr>
            </w:pPr>
            <w:hyperlink r:id="rId8" w:history="1">
              <w:r w:rsidRPr="0065690F">
                <w:rPr>
                  <w:bCs/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https://www.canada.ca/fr/sante-canada/services/securite-produits-consommation/pesticides-lutte-antiparasitaire/public/consultations/limites-maximales-residus-proposees/2026/cyprodinil-pommes-cannelles/document.html</w:t>
              </w:r>
            </w:hyperlink>
            <w:r w:rsidRPr="0065690F" w:rsidR="00EA797E">
              <w:rPr>
                <w:bCs/>
              </w:rPr>
              <w:t xml:space="preserve"> (French)</w:t>
            </w:r>
          </w:p>
          <w:p w:rsidR="002D6EA6" w:rsidP="00F3021D" w14:paraId="17723ECD" w14:textId="77777777">
            <w:pPr>
              <w:keepNext/>
              <w:keepLines/>
              <w:rPr>
                <w:bCs/>
              </w:rPr>
            </w:pPr>
          </w:p>
          <w:p w:rsidR="00EA4725" w:rsidRPr="0065690F" w:rsidP="00F3021D" w14:paraId="2B358C3D" w14:textId="4ECC8760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Canada's Notification Authority and Enquiry Point</w:t>
            </w:r>
          </w:p>
          <w:p w:rsidR="00EA4725" w:rsidRPr="0065690F" w:rsidP="00F3021D" w14:paraId="4051B7A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Global Affairs Canada</w:t>
            </w:r>
          </w:p>
          <w:p w:rsidR="00EA4725" w:rsidRPr="0065690F" w:rsidP="00F3021D" w14:paraId="1A007EE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Technical Barriers and Regulations Division</w:t>
            </w:r>
          </w:p>
          <w:p w:rsidR="00EA4725" w:rsidRPr="0065690F" w:rsidP="00F3021D" w14:paraId="201144F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111 Sussex Drive Ottawa (Ontario)</w:t>
            </w:r>
          </w:p>
          <w:p w:rsidR="00EA4725" w:rsidRPr="0065690F" w:rsidP="00F3021D" w14:paraId="518F00B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K1A 0G2 Canada</w:t>
            </w:r>
          </w:p>
          <w:p w:rsidR="00EA4725" w:rsidRPr="0065690F" w:rsidP="00F3021D" w14:paraId="761BF9B2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9" w:history="1">
              <w:r w:rsidRPr="0065690F">
                <w:rPr>
                  <w:bCs/>
                  <w:color w:val="0000FF"/>
                  <w:u w:val="single"/>
                </w:rPr>
                <w:t>enquirypoint@international.gc.ca</w:t>
              </w:r>
            </w:hyperlink>
          </w:p>
        </w:tc>
      </w:tr>
    </w:tbl>
    <w:p w:rsidR="007141CF" w:rsidRPr="00441372" w:rsidP="00441372" w14:paraId="03D18B82" w14:textId="77777777"/>
    <w:sectPr w:rsidSect="005F18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F1846" w:rsidP="005F1846" w14:paraId="7F8C9BDE" w14:textId="5452D23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5F1846" w:rsidP="005F1846" w14:paraId="701CF8A2" w14:textId="551EC32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8E0408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F1846" w:rsidRPr="005F1846" w:rsidP="005F1846" w14:paraId="75DF16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F1846">
      <w:t>G/SPS/N/CAN/1650</w:t>
    </w:r>
  </w:p>
  <w:p w:rsidR="005F1846" w:rsidRPr="005F1846" w:rsidP="005F1846" w14:paraId="375BB3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F1846" w:rsidRPr="005F1846" w:rsidP="005F1846" w14:paraId="4F004136" w14:textId="0A81F9E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F1846">
      <w:t xml:space="preserve">- </w:t>
    </w:r>
    <w:r w:rsidRPr="005F1846">
      <w:fldChar w:fldCharType="begin"/>
    </w:r>
    <w:r w:rsidRPr="005F1846">
      <w:instrText xml:space="preserve"> PAGE </w:instrText>
    </w:r>
    <w:r w:rsidRPr="005F1846">
      <w:fldChar w:fldCharType="separate"/>
    </w:r>
    <w:r w:rsidRPr="005F1846">
      <w:t>2</w:t>
    </w:r>
    <w:r w:rsidRPr="005F1846">
      <w:fldChar w:fldCharType="end"/>
    </w:r>
    <w:r w:rsidRPr="005F1846">
      <w:t xml:space="preserve"> -</w:t>
    </w:r>
  </w:p>
  <w:p w:rsidR="00EA4725" w:rsidRPr="005F1846" w:rsidP="005F1846" w14:paraId="65CCD7F4" w14:textId="18FD786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F1846" w:rsidRPr="005F1846" w:rsidP="005F1846" w14:paraId="4B5869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F1846">
      <w:t>G/SPS/N/CAN/1650</w:t>
    </w:r>
  </w:p>
  <w:p w:rsidR="005F1846" w:rsidRPr="005F1846" w:rsidP="005F1846" w14:paraId="5FA35B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F1846" w:rsidRPr="005F1846" w:rsidP="005F1846" w14:paraId="0DC8C2CD" w14:textId="19D01AD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F1846">
      <w:t xml:space="preserve">- </w:t>
    </w:r>
    <w:r w:rsidRPr="005F1846">
      <w:fldChar w:fldCharType="begin"/>
    </w:r>
    <w:r w:rsidRPr="005F1846">
      <w:instrText xml:space="preserve"> PAGE </w:instrText>
    </w:r>
    <w:r w:rsidRPr="005F1846">
      <w:fldChar w:fldCharType="separate"/>
    </w:r>
    <w:r w:rsidRPr="005F1846">
      <w:rPr>
        <w:noProof/>
      </w:rPr>
      <w:t>2</w:t>
    </w:r>
    <w:r w:rsidRPr="005F1846">
      <w:fldChar w:fldCharType="end"/>
    </w:r>
    <w:r w:rsidRPr="005F1846">
      <w:t xml:space="preserve"> -</w:t>
    </w:r>
  </w:p>
  <w:p w:rsidR="00EA4725" w:rsidRPr="005F1846" w:rsidP="005F1846" w14:paraId="1262D9C2" w14:textId="0857078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4DCC81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E48B87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D92E94" w14:textId="26C541F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9614DE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4F522F4" w14:textId="646127AF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B4AA322" w14:textId="77777777">
          <w:pPr>
            <w:jc w:val="right"/>
            <w:rPr>
              <w:b/>
              <w:szCs w:val="16"/>
            </w:rPr>
          </w:pPr>
        </w:p>
      </w:tc>
    </w:tr>
    <w:tr w14:paraId="0A0231B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4F68F2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F1846" w:rsidP="00656ABC" w14:paraId="5D6E553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G/SPS/N/CAN/1650</w:t>
          </w:r>
        </w:p>
        <w:bookmarkEnd w:id="1"/>
        <w:p w:rsidR="00656ABC" w:rsidRPr="00EA4725" w:rsidP="00656ABC" w14:paraId="0AFC3ECF" w14:textId="7CF851FD">
          <w:pPr>
            <w:jc w:val="right"/>
            <w:rPr>
              <w:b/>
              <w:szCs w:val="16"/>
            </w:rPr>
          </w:pPr>
        </w:p>
      </w:tc>
    </w:tr>
    <w:tr w14:paraId="533469E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139FAE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85AEC9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8 October 2026</w:t>
          </w:r>
          <w:bookmarkEnd w:id="3"/>
        </w:p>
      </w:tc>
    </w:tr>
    <w:tr w14:paraId="2619465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CCF8A2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(26-6987)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0F4B03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B79BBC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2AB291B" w14:textId="33118EC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B54B391" w14:textId="481E80D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441372" w14:paraId="7826D10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190671">
    <w:abstractNumId w:val="9"/>
  </w:num>
  <w:num w:numId="2" w16cid:durableId="1613249327">
    <w:abstractNumId w:val="7"/>
  </w:num>
  <w:num w:numId="3" w16cid:durableId="172383381">
    <w:abstractNumId w:val="6"/>
  </w:num>
  <w:num w:numId="4" w16cid:durableId="1860778757">
    <w:abstractNumId w:val="5"/>
  </w:num>
  <w:num w:numId="5" w16cid:durableId="796602736">
    <w:abstractNumId w:val="4"/>
  </w:num>
  <w:num w:numId="6" w16cid:durableId="1379357093">
    <w:abstractNumId w:val="12"/>
  </w:num>
  <w:num w:numId="7" w16cid:durableId="1966230683">
    <w:abstractNumId w:val="11"/>
  </w:num>
  <w:num w:numId="8" w16cid:durableId="1347319351">
    <w:abstractNumId w:val="10"/>
  </w:num>
  <w:num w:numId="9" w16cid:durableId="4444669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69755741">
    <w:abstractNumId w:val="13"/>
  </w:num>
  <w:num w:numId="11" w16cid:durableId="1973317195">
    <w:abstractNumId w:val="8"/>
  </w:num>
  <w:num w:numId="12" w16cid:durableId="676149530">
    <w:abstractNumId w:val="3"/>
  </w:num>
  <w:num w:numId="13" w16cid:durableId="493566721">
    <w:abstractNumId w:val="2"/>
  </w:num>
  <w:num w:numId="14" w16cid:durableId="340357145">
    <w:abstractNumId w:val="1"/>
  </w:num>
  <w:num w:numId="15" w16cid:durableId="1156261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2D6EA6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1846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2D4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A797E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E1332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3152A4"/>
  <w15:docId w15:val="{99F43018-3C18-4AF3-B7AD-432E460A7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anada.ca/en/health-canada/services/consumer-product-safety/pesticides-pest-management/public/protecting-your-health-environment/pesticides-food/residue-chemistry-crop-groups.html" TargetMode="External" /><Relationship Id="rId6" Type="http://schemas.openxmlformats.org/officeDocument/2006/relationships/hyperlink" Target="https://www.canada.ca/en/health-canada/services/consumer-product-safety/pesticides-pest-management/public/consultations.html" TargetMode="External" /><Relationship Id="rId7" Type="http://schemas.openxmlformats.org/officeDocument/2006/relationships/hyperlink" Target="https://www.canada.ca/en/health-canada/services/consumer-product-safety/pesticides-pest-management/public/consultations/proposed-maximum-residue-limit/2026/cyprodinil-sugar-apples/document.html" TargetMode="External" /><Relationship Id="rId8" Type="http://schemas.openxmlformats.org/officeDocument/2006/relationships/hyperlink" Target="https://www.canada.ca/fr/sante-canada/services/securite-produits-consommation/pesticides-lutte-antiparasitaire/public/consultations/limites-maximales-residus-proposees/2026/cyprodinil-pommes-cannelles/document.html" TargetMode="External" /><Relationship Id="rId9" Type="http://schemas.openxmlformats.org/officeDocument/2006/relationships/hyperlink" Target="mailto:enquirypoint@international.gc.c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6ed29ece-9972-4a23-8ee6-510d0687dc3c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A2E3C820-D2E3-4D7C-BD61-234E1E11029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2026-10-08T10:51:00Z</dcterms:created>
  <dcterms:modified xsi:type="dcterms:W3CDTF">2026-10-08T10:53:00Z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G/SPS/N/CAN/1650</vt:lpwstr>
  </property>
  <property fmtid="{D5CDD505-2E9C-101B-9397-08002B2CF9AE}" pid="3" name="TitusGUID">
    <vt:lpwstr>6ed29ece-9972-4a23-8ee6-510d0687dc3c</vt:lpwstr>
  </property>
  <property fmtid="{D5CDD505-2E9C-101B-9397-08002B2CF9AE}" pid="4" name="WTOCLASSIFICATION">
    <vt:lpwstr>PUBLIC</vt:lpwstr>
  </property>
</Properties>
</file>