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7162B665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BA78FB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2FC2877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A94D19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CHILE</w:t>
            </w:r>
          </w:p>
          <w:p w:rsidR="00B91FF3" w:rsidRPr="00DA2000" w:rsidP="00DA2000" w14:paraId="4FFF994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Chile</w:t>
            </w:r>
          </w:p>
        </w:tc>
      </w:tr>
      <w:tr w14:paraId="20C2D68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41E476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E62915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Agrícola y Ganadero (SAG)</w:t>
            </w:r>
          </w:p>
        </w:tc>
      </w:tr>
      <w:tr w14:paraId="45EF2C4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ACF951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FE5976E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Plantas de frutilla (</w:t>
            </w:r>
            <w:r w:rsidRPr="00A834A1">
              <w:rPr>
                <w:i/>
                <w:iCs/>
              </w:rPr>
              <w:t>Fragaria × ananassa</w:t>
            </w:r>
            <w:r w:rsidRPr="00A834A1">
              <w:t>)</w:t>
            </w:r>
          </w:p>
        </w:tc>
      </w:tr>
      <w:tr w14:paraId="0401006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8381E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1B656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210D8B71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1FAB26EC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Unión Europea</w:t>
            </w:r>
          </w:p>
        </w:tc>
      </w:tr>
      <w:tr w14:paraId="48EDF44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795300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A71E9D7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Modifica Resolución No 1.923 de 2025 que Establece requisitos fitosanitarios de importación para plantas de frutilla (</w:t>
            </w:r>
            <w:r w:rsidRPr="00A834A1">
              <w:rPr>
                <w:i/>
                <w:iCs/>
              </w:rPr>
              <w:t>Fragaria × ananassa</w:t>
            </w:r>
            <w:r w:rsidRPr="00A834A1">
              <w:t>) procedentes de los Estados miembros de la Unión Europea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3</w:t>
            </w:r>
          </w:p>
          <w:p w:rsidR="00B91FF3" w:rsidRPr="00DA2000" w:rsidP="00DA2000" w14:paraId="4F24917B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https://members.wto.org/crnattachments/2026/SPS/CHL/26_02627_00_s.pdf</w:t>
              </w:r>
            </w:hyperlink>
          </w:p>
        </w:tc>
      </w:tr>
      <w:tr w14:paraId="7B745DD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C0098C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3B38F2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 xml:space="preserve">El proyecto de resolución actualiza los requisitos fitosanitarios de importación para plantas de frutilla (Fragaria × ananassa) procedentes de los Estados miembros de la Unión Europea. En particular, elimina de los requisitos a la plaga </w:t>
            </w:r>
            <w:r w:rsidRPr="00A834A1">
              <w:rPr>
                <w:i/>
                <w:iCs/>
              </w:rPr>
              <w:t>Aphelenchoides fragariae</w:t>
            </w:r>
            <w:r w:rsidRPr="00A834A1">
              <w:t xml:space="preserve">, por encontrarse presente en Chile; reemplaza </w:t>
            </w:r>
            <w:r w:rsidRPr="00A834A1">
              <w:rPr>
                <w:i/>
                <w:iCs/>
              </w:rPr>
              <w:t>Colletotrichum acutatum complex</w:t>
            </w:r>
            <w:r w:rsidRPr="00A834A1">
              <w:t xml:space="preserve"> por </w:t>
            </w:r>
            <w:r w:rsidRPr="00A834A1">
              <w:rPr>
                <w:i/>
                <w:iCs/>
              </w:rPr>
              <w:t>Colletotrichum acutatum</w:t>
            </w:r>
            <w:r w:rsidRPr="00A834A1">
              <w:t xml:space="preserve">; y actualiza los nombres científicos de los virus </w:t>
            </w:r>
            <w:r w:rsidRPr="00A834A1">
              <w:rPr>
                <w:i/>
                <w:iCs/>
              </w:rPr>
              <w:t>Raspberry ringspot</w:t>
            </w:r>
            <w:r w:rsidRPr="00A834A1">
              <w:t xml:space="preserve"> virus (=</w:t>
            </w:r>
            <w:r w:rsidRPr="00A834A1">
              <w:rPr>
                <w:i/>
                <w:iCs/>
              </w:rPr>
              <w:t>Nepovirus rubi</w:t>
            </w:r>
            <w:r w:rsidRPr="00A834A1">
              <w:t xml:space="preserve">) y </w:t>
            </w:r>
            <w:r w:rsidRPr="00A834A1">
              <w:rPr>
                <w:i/>
                <w:iCs/>
              </w:rPr>
              <w:t>Tomato black ring virus</w:t>
            </w:r>
            <w:r w:rsidRPr="00A834A1">
              <w:t xml:space="preserve"> (=</w:t>
            </w:r>
            <w:r w:rsidRPr="00A834A1">
              <w:rPr>
                <w:i/>
                <w:iCs/>
              </w:rPr>
              <w:t>Nepovirus nigranuli</w:t>
            </w:r>
            <w:r w:rsidRPr="00A834A1">
              <w:t>), d</w:t>
            </w:r>
            <w:r w:rsidRPr="00A834A1">
              <w:t>e acuerdo con el listado oficial de plagas cuarentenarias del SAG, establecido en la Resolución No 3.080 de 2003 y sus modificaciones".</w:t>
            </w:r>
          </w:p>
          <w:p w:rsidR="00164FA0" w:rsidRPr="00A834A1" w:rsidP="00DA2000" w14:paraId="180463C6" w14:textId="77777777">
            <w:pPr>
              <w:spacing w:before="120" w:after="120"/>
            </w:pPr>
            <w:r w:rsidRPr="00A834A1">
              <w:t>Para mayor detalle revisar el documento adjunto a esta notificación.</w:t>
            </w:r>
          </w:p>
        </w:tc>
      </w:tr>
      <w:tr w14:paraId="01320F9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A4038A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CCA1FC8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7F93379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8C650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9527B4" w14:paraId="3D0C833A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9527B4" w14:paraId="24132A9A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9527B4" w14:paraId="0E562A51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AA22D2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NIMF números 1, 2, 11 y 20</w:t>
            </w:r>
          </w:p>
          <w:p w:rsidR="00B91FF3" w:rsidRPr="00DA2000" w:rsidP="009527B4" w14:paraId="5AAA44AC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511953B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53ADC6DC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4CB2B9E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6C5EF67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DC8D082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F3E2AB" w14:textId="1DEADD5F">
            <w:pPr>
              <w:spacing w:before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Resolución</w:t>
            </w:r>
            <w:r>
              <w:t> </w:t>
            </w:r>
            <w:r w:rsidRPr="00A834A1">
              <w:t>No</w:t>
            </w:r>
            <w:r>
              <w:t> </w:t>
            </w:r>
            <w:r w:rsidRPr="00A834A1">
              <w:t>3.080 de 2003 y sus modificaciones</w:t>
            </w:r>
          </w:p>
          <w:p w:rsidR="00164FA0" w:rsidRPr="00A834A1" w:rsidP="00DA2000" w14:paraId="464B92FC" w14:textId="77777777">
            <w:hyperlink r:id="rId5" w:history="1">
              <w:r w:rsidRPr="00A834A1">
                <w:rPr>
                  <w:color w:val="0000FF"/>
                  <w:u w:val="single"/>
                </w:rPr>
                <w:t>https://members.wto.org/crnattachments/2026/SPS/CHL/26_02627_01_s.pdf</w:t>
              </w:r>
            </w:hyperlink>
          </w:p>
          <w:p w:rsidR="00164FA0" w:rsidRPr="00A834A1" w:rsidP="00DA2000" w14:paraId="5C52B7B8" w14:textId="563B3BC2">
            <w:pPr>
              <w:spacing w:after="120"/>
            </w:pPr>
            <w:r w:rsidRPr="00A834A1">
              <w:t>(disponible en español)</w:t>
            </w:r>
          </w:p>
        </w:tc>
      </w:tr>
      <w:tr w14:paraId="0673032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213CC6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2524D0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A su publicación en el Diario Oficial.</w:t>
            </w:r>
          </w:p>
          <w:p w:rsidR="00B91FF3" w:rsidRPr="00DA2000" w:rsidP="00DA2000" w14:paraId="4C0211D5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Aproximadamente 50 días a partir de la fecha de publicación de la notificación.</w:t>
            </w:r>
          </w:p>
        </w:tc>
      </w:tr>
      <w:tr w14:paraId="209EB7F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4CC2CB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D98E21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A su publicación en el Diario Oficial.</w:t>
            </w:r>
          </w:p>
          <w:p w:rsidR="00B91FF3" w:rsidRPr="00DA2000" w:rsidP="00DA2000" w14:paraId="712E8484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5DEFBAA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042386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D38646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 ] </w:t>
            </w:r>
            <w:r w:rsidRPr="00DA2000">
              <w:rPr>
                <w:b/>
              </w:rPr>
              <w:t xml:space="preserve">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30 días a partir de la fecha de publicación de la notificación.</w:t>
            </w:r>
          </w:p>
          <w:p w:rsidR="00B91FF3" w:rsidRPr="00DA2000" w:rsidP="00DA2000" w14:paraId="26D306EB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64FA0" w:rsidRPr="00A834A1" w:rsidP="00DA2000" w14:paraId="08BD36E6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  <w:tr w14:paraId="37581F6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0D82268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EACE127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 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64FA0" w:rsidRPr="00A834A1" w:rsidP="000D29D0" w14:paraId="194641D4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</w:tbl>
    <w:p w:rsidR="00337700" w:rsidRPr="00DA2000" w:rsidP="00DA2000" w14:paraId="4AB8C360" w14:textId="77777777"/>
    <w:sectPr w:rsidSect="009527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9527B4" w:rsidP="009527B4" w14:paraId="666CABEC" w14:textId="78B1256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527B4" w:rsidP="009527B4" w14:paraId="5EA713F8" w14:textId="20AE084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2997909D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527B4" w:rsidRPr="009527B4" w:rsidP="009527B4" w14:paraId="6D8641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527B4">
      <w:t>G/SPS/N/CHL/883</w:t>
    </w:r>
  </w:p>
  <w:p w:rsidR="009527B4" w:rsidRPr="009527B4" w:rsidP="009527B4" w14:paraId="1B137F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527B4" w:rsidRPr="009527B4" w:rsidP="009527B4" w14:paraId="3F37F042" w14:textId="52978D4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527B4">
      <w:t xml:space="preserve">- </w:t>
    </w:r>
    <w:r w:rsidRPr="009527B4">
      <w:fldChar w:fldCharType="begin"/>
    </w:r>
    <w:r w:rsidRPr="009527B4">
      <w:instrText xml:space="preserve"> PAGE </w:instrText>
    </w:r>
    <w:r w:rsidRPr="009527B4">
      <w:fldChar w:fldCharType="separate"/>
    </w:r>
    <w:r w:rsidRPr="009527B4">
      <w:t>2</w:t>
    </w:r>
    <w:r w:rsidRPr="009527B4">
      <w:fldChar w:fldCharType="end"/>
    </w:r>
    <w:r w:rsidRPr="009527B4">
      <w:t xml:space="preserve"> -</w:t>
    </w:r>
  </w:p>
  <w:p w:rsidR="00B91FF3" w:rsidRPr="009527B4" w:rsidP="009527B4" w14:paraId="00366F24" w14:textId="31BD1E1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527B4" w:rsidRPr="009527B4" w:rsidP="009527B4" w14:paraId="427E45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527B4">
      <w:t>G/SPS/N/CHL/883</w:t>
    </w:r>
  </w:p>
  <w:p w:rsidR="009527B4" w:rsidRPr="009527B4" w:rsidP="009527B4" w14:paraId="6C2710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527B4" w:rsidRPr="009527B4" w:rsidP="009527B4" w14:paraId="28D72F23" w14:textId="012B109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527B4">
      <w:t xml:space="preserve">- </w:t>
    </w:r>
    <w:r w:rsidRPr="009527B4">
      <w:fldChar w:fldCharType="begin"/>
    </w:r>
    <w:r w:rsidRPr="009527B4">
      <w:instrText xml:space="preserve"> PAGE </w:instrText>
    </w:r>
    <w:r w:rsidRPr="009527B4">
      <w:fldChar w:fldCharType="separate"/>
    </w:r>
    <w:r w:rsidRPr="009527B4">
      <w:rPr>
        <w:noProof/>
      </w:rPr>
      <w:t>2</w:t>
    </w:r>
    <w:r w:rsidRPr="009527B4">
      <w:fldChar w:fldCharType="end"/>
    </w:r>
    <w:r w:rsidRPr="009527B4">
      <w:t xml:space="preserve"> -</w:t>
    </w:r>
  </w:p>
  <w:p w:rsidR="00DD65B2" w:rsidRPr="009527B4" w:rsidP="009527B4" w14:paraId="04F618E3" w14:textId="3EF3C4F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D74F54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2640914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2BD265A" w14:textId="116985E2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5D62A34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0AF19F0D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26F6081" w14:textId="77777777">
          <w:pPr>
            <w:jc w:val="right"/>
            <w:rPr>
              <w:b/>
              <w:szCs w:val="18"/>
            </w:rPr>
          </w:pPr>
        </w:p>
      </w:tc>
    </w:tr>
    <w:tr w14:paraId="4BB3DC38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41DD1B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9527B4" w:rsidP="00043017" w14:paraId="2866947C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G/SPS/N/CHL/883</w:t>
          </w:r>
        </w:p>
        <w:bookmarkEnd w:id="1"/>
        <w:p w:rsidR="00043017" w:rsidRPr="00B91FF3" w:rsidP="00043017" w14:paraId="4427F376" w14:textId="1F841000">
          <w:pPr>
            <w:jc w:val="right"/>
            <w:rPr>
              <w:b/>
              <w:szCs w:val="18"/>
            </w:rPr>
          </w:pPr>
        </w:p>
      </w:tc>
    </w:tr>
    <w:tr w14:paraId="1FED040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E142ED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775556BA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18 de mayo de 2026</w:t>
          </w:r>
          <w:bookmarkEnd w:id="3"/>
        </w:p>
      </w:tc>
    </w:tr>
    <w:tr w14:paraId="06FE249C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62BF332A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(26-3690)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5C1AB0D1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168DDE5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5ECF309D" w14:textId="75046490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4D88DCDD" w14:textId="7E35EA4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5B981B4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6829420">
    <w:abstractNumId w:val="8"/>
  </w:num>
  <w:num w:numId="2" w16cid:durableId="299963859">
    <w:abstractNumId w:val="3"/>
  </w:num>
  <w:num w:numId="3" w16cid:durableId="1198196768">
    <w:abstractNumId w:val="2"/>
  </w:num>
  <w:num w:numId="4" w16cid:durableId="2131628244">
    <w:abstractNumId w:val="1"/>
  </w:num>
  <w:num w:numId="5" w16cid:durableId="1965965563">
    <w:abstractNumId w:val="0"/>
  </w:num>
  <w:num w:numId="6" w16cid:durableId="1895891718">
    <w:abstractNumId w:val="13"/>
  </w:num>
  <w:num w:numId="7" w16cid:durableId="1234773320">
    <w:abstractNumId w:val="11"/>
  </w:num>
  <w:num w:numId="8" w16cid:durableId="253974724">
    <w:abstractNumId w:val="14"/>
  </w:num>
  <w:num w:numId="9" w16cid:durableId="959797144">
    <w:abstractNumId w:val="10"/>
  </w:num>
  <w:num w:numId="10" w16cid:durableId="1989940039">
    <w:abstractNumId w:val="9"/>
  </w:num>
  <w:num w:numId="11" w16cid:durableId="352995961">
    <w:abstractNumId w:val="7"/>
  </w:num>
  <w:num w:numId="12" w16cid:durableId="1932618068">
    <w:abstractNumId w:val="6"/>
  </w:num>
  <w:num w:numId="13" w16cid:durableId="574554962">
    <w:abstractNumId w:val="5"/>
  </w:num>
  <w:num w:numId="14" w16cid:durableId="1787499656">
    <w:abstractNumId w:val="4"/>
  </w:num>
  <w:num w:numId="15" w16cid:durableId="622031004">
    <w:abstractNumId w:val="12"/>
  </w:num>
  <w:num w:numId="16" w16cid:durableId="4773037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64FA0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527B4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60F12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91F57C"/>
  <w15:docId w15:val="{59F9F9B4-CB18-4D1C-9944-B4127A0F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CHL/26_02627_00_s.pdf" TargetMode="External" /><Relationship Id="rId5" Type="http://schemas.openxmlformats.org/officeDocument/2006/relationships/hyperlink" Target="https://members.wto.org/crnattachments/2026/SPS/CHL/26_02627_01_s.pdf" TargetMode="External" /><Relationship Id="rId6" Type="http://schemas.openxmlformats.org/officeDocument/2006/relationships/hyperlink" Target="mailto:sps.chile@sag.gob.cl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2026-05-18T13:13:00Z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G/SPS/N/CHL/883</vt:lpwstr>
  </property>
</Properties>
</file>