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0FD761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65F55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A8DE1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5D3B5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3EB9BB9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DA396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5CCC7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D1C1A" w:rsidRPr="00A834A1" w:rsidP="004750CE" w14:paraId="24E9EFDC" w14:textId="0119F2B4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</w:tc>
      </w:tr>
      <w:tr w14:paraId="1C51F11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CFAE3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5B582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Leche y productos lácteos en general (código(s) de la ICS: 67.100.01)</w:t>
            </w:r>
          </w:p>
        </w:tc>
      </w:tr>
      <w:tr w14:paraId="0041D71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9BC5A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FB0CB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2226E1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DE5498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307D4D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E4950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35C59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Guía Técnica - Tecnología de los alimentos. Productos lácteos. Toma de muestra y métodos de análisis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26</w:t>
            </w:r>
          </w:p>
          <w:p w:rsidR="00B91FF3" w:rsidRPr="00DA2000" w:rsidP="00DA2000" w14:paraId="4DEA4C4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https://members.wto.org/crnattachments/2026/SPS/PAN/26_01223_00_s.pdf</w:t>
              </w:r>
            </w:hyperlink>
          </w:p>
        </w:tc>
      </w:tr>
      <w:tr w14:paraId="3B3DF9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23934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D4FEC1" w14:textId="157DE25B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presente Guía Técnica establece los lineamientos técnicos para la toma de muestras y los métodos de análisis aplicables a la leche y los productos lácteos que se elaboran, importan, distribuyen y comercializan en la República de Panamá, con el fin de asegurar la uniformidad de los procedimientos, garantizar la calidad e inocuidad de los productos y respaldar las acciones de control y verificación realizadas por las autoridades competentes.</w:t>
            </w:r>
          </w:p>
        </w:tc>
      </w:tr>
      <w:tr w14:paraId="0C9C14E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91A18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EE14AE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292E5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D9C20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4750CE" w14:paraId="6EF52230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4750CE" w14:paraId="4D2D8C9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Norma del Codex para Métodos de análisis y de muestreo recomendados (</w:t>
            </w:r>
            <w:r w:rsidRPr="00A834A1">
              <w:t>CXS</w:t>
            </w:r>
            <w:r w:rsidRPr="00A834A1">
              <w:t xml:space="preserve"> 234-1999)</w:t>
            </w:r>
          </w:p>
          <w:p w:rsidR="00B91FF3" w:rsidRPr="00DA2000" w:rsidP="004750CE" w14:paraId="6778429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750CE" w14:paraId="0B9EA539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750CE" w14:paraId="6035287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25D3B6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4750CE" w14:paraId="7DBC119D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32FCAD5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AA8531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86EBB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321C9F" w14:paraId="6B0D0007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0D1C1A" w:rsidRPr="00A834A1" w:rsidP="00321C9F" w14:paraId="6CC6E9D4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aditivos alimentarios.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192-1995. Comisión del Codex </w:t>
            </w:r>
            <w:r w:rsidRPr="00A834A1">
              <w:t>Alimentarius</w:t>
            </w:r>
            <w:r w:rsidRPr="00A834A1">
              <w:t>. Roma</w:t>
            </w:r>
          </w:p>
          <w:p w:rsidR="000D1C1A" w:rsidRPr="00A834A1" w:rsidP="00321C9F" w14:paraId="2605496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193-1995. Comisión del Codex </w:t>
            </w:r>
            <w:r w:rsidRPr="00A834A1">
              <w:t>Alimentarius</w:t>
            </w:r>
            <w:r w:rsidRPr="00A834A1">
              <w:t>. Roma</w:t>
            </w:r>
          </w:p>
          <w:p w:rsidR="000D1C1A" w:rsidRPr="00A834A1" w:rsidP="00321C9F" w14:paraId="33DDB0B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1969. </w:t>
            </w:r>
            <w:r w:rsidRPr="00A834A1">
              <w:rPr>
                <w:i/>
                <w:iCs/>
              </w:rPr>
              <w:t xml:space="preserve">Principios generales de higiene de los alimentos. </w:t>
            </w:r>
            <w:r w:rsidRPr="00A834A1">
              <w:t xml:space="preserve">Código de </w:t>
            </w:r>
            <w:r w:rsidRPr="00A834A1">
              <w:t>prácticasdel</w:t>
            </w:r>
            <w:r w:rsidRPr="00A834A1">
              <w:t xml:space="preserve"> Codex </w:t>
            </w:r>
            <w:r w:rsidRPr="00A834A1">
              <w:t>Alimentarius</w:t>
            </w:r>
            <w:r w:rsidRPr="00A834A1">
              <w:t xml:space="preserve">, No. CXC 1-1969. Comisión del Codex </w:t>
            </w:r>
            <w:r w:rsidRPr="00A834A1">
              <w:t>Alimentarius</w:t>
            </w:r>
            <w:r w:rsidRPr="00A834A1">
              <w:t>. Roma</w:t>
            </w:r>
          </w:p>
          <w:p w:rsidR="000D1C1A" w:rsidRPr="00A834A1" w:rsidP="00321C9F" w14:paraId="5AD1FE9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2004. </w:t>
            </w:r>
            <w:r w:rsidRPr="00A834A1">
              <w:rPr>
                <w:i/>
                <w:iCs/>
              </w:rPr>
              <w:t xml:space="preserve">Código de prácticas de higiene para la leche y los productos </w:t>
            </w:r>
            <w:r w:rsidRPr="00A834A1">
              <w:rPr>
                <w:i/>
                <w:iCs/>
              </w:rPr>
              <w:t>lácteos.</w:t>
            </w:r>
            <w:r w:rsidRPr="00A834A1">
              <w:t>Código</w:t>
            </w:r>
            <w:r w:rsidRPr="00A834A1">
              <w:t xml:space="preserve"> de prácticas del Codex </w:t>
            </w:r>
            <w:r w:rsidRPr="00A834A1">
              <w:t>Alimentarius</w:t>
            </w:r>
            <w:r w:rsidRPr="00A834A1">
              <w:t xml:space="preserve">, No. CXC 57-2004. Comisión del Codex </w:t>
            </w:r>
            <w:r w:rsidRPr="00A834A1">
              <w:t>Alimentarius</w:t>
            </w:r>
            <w:r w:rsidRPr="00A834A1">
              <w:t>. Roma</w:t>
            </w:r>
          </w:p>
          <w:p w:rsidR="000D1C1A" w:rsidRPr="00A834A1" w:rsidP="00321C9F" w14:paraId="45213FC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1997 </w:t>
            </w:r>
            <w:r w:rsidRPr="00A834A1">
              <w:rPr>
                <w:i/>
                <w:iCs/>
              </w:rPr>
              <w:t>Principiosy</w:t>
            </w:r>
            <w:r w:rsidRPr="00A834A1">
              <w:rPr>
                <w:i/>
                <w:iCs/>
              </w:rPr>
              <w:t xml:space="preserve"> directrices para el establecimiento y la aplicación de criterios microbiológicos relativos a los alimentos. </w:t>
            </w:r>
            <w:r w:rsidRPr="00A834A1">
              <w:t xml:space="preserve">Directrices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CXG</w:t>
            </w:r>
            <w:r w:rsidRPr="00A834A1">
              <w:t xml:space="preserve"> 21-1997. Comisión del Codex </w:t>
            </w:r>
            <w:r w:rsidRPr="00A834A1">
              <w:t>Alimentarius</w:t>
            </w:r>
            <w:r w:rsidRPr="00A834A1">
              <w:t>. Roma</w:t>
            </w:r>
          </w:p>
          <w:p w:rsidR="000D1C1A" w:rsidRPr="00A834A1" w:rsidP="00321C9F" w14:paraId="2798630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Norma </w:t>
            </w:r>
            <w:r w:rsidRPr="00A834A1">
              <w:rPr>
                <w:i/>
                <w:iCs/>
              </w:rPr>
              <w:t>generalpara</w:t>
            </w:r>
            <w:r w:rsidRPr="00A834A1">
              <w:rPr>
                <w:i/>
                <w:iCs/>
              </w:rPr>
              <w:t xml:space="preserve"> el uso de </w:t>
            </w:r>
            <w:r w:rsidRPr="00A834A1">
              <w:rPr>
                <w:i/>
                <w:iCs/>
              </w:rPr>
              <w:t>términoslecheros</w:t>
            </w:r>
            <w:r w:rsidRPr="00A834A1">
              <w:rPr>
                <w:i/>
                <w:iCs/>
              </w:rPr>
              <w:t xml:space="preserve">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206- 1999. Comisión del Codex </w:t>
            </w:r>
            <w:r w:rsidRPr="00A834A1">
              <w:t>Alimentarius</w:t>
            </w:r>
            <w:r w:rsidRPr="00A834A1">
              <w:t>. Roma</w:t>
            </w:r>
          </w:p>
          <w:p w:rsidR="000D1C1A" w:rsidRPr="00A834A1" w:rsidP="00321C9F" w14:paraId="1C1AC93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Métodos de análisis y de muestreo recomendados.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234- 1999. Comisión del Codex </w:t>
            </w:r>
            <w:r w:rsidRPr="00A834A1">
              <w:t>Alimentarius</w:t>
            </w:r>
            <w:r w:rsidRPr="00A834A1">
              <w:t>. Roma</w:t>
            </w:r>
          </w:p>
          <w:p w:rsidR="000D1C1A" w:rsidRPr="00A834A1" w:rsidP="00321C9F" w14:paraId="466C0FD6" w14:textId="16559F9D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 xml:space="preserve">FAO y OMS. 2004. </w:t>
            </w:r>
            <w:r w:rsidRPr="00A834A1">
              <w:rPr>
                <w:i/>
                <w:iCs/>
              </w:rPr>
              <w:t xml:space="preserve">Directrices generales sobre muestreo.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CXG</w:t>
            </w:r>
            <w:r w:rsidRPr="00A834A1">
              <w:t xml:space="preserve"> 50- 2004. Comisión del Codex </w:t>
            </w:r>
            <w:r w:rsidRPr="00A834A1">
              <w:t>Alimentarius</w:t>
            </w:r>
            <w:r w:rsidRPr="00A834A1">
              <w:t>. Roma</w:t>
            </w:r>
          </w:p>
        </w:tc>
      </w:tr>
      <w:tr w14:paraId="60D6C1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897F9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F0879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D8E8D7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59C41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D8F46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253CE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69E652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E2BE6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888C7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805120" w14:textId="2BBE9884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4750CE">
              <w:t>3</w:t>
            </w:r>
            <w:r w:rsidRPr="00A834A1">
              <w:t xml:space="preserve"> de mayo de 2026</w:t>
            </w:r>
          </w:p>
          <w:p w:rsidR="00B91FF3" w:rsidRPr="00DA2000" w:rsidP="00DA2000" w14:paraId="48B4E11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26BBBC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528515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6C61A4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D1C1A" w:rsidRPr="00A834A1" w:rsidP="000D29D0" w14:paraId="78EBDAAE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0D1C1A" w:rsidRPr="00A834A1" w:rsidP="000D29D0" w14:paraId="0B3135D5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0D1C1A" w:rsidRPr="00A834A1" w:rsidP="000D29D0" w14:paraId="79EAE027" w14:textId="77777777">
            <w:pPr>
              <w:keepNext/>
              <w:keepLines/>
            </w:pPr>
            <w:r w:rsidRPr="00A834A1">
              <w:t>Vía Ricardo J. Alfaro, Edificio Plaza Edison, 3er Piso</w:t>
            </w:r>
          </w:p>
          <w:p w:rsidR="000D1C1A" w:rsidRPr="00A834A1" w:rsidP="000D29D0" w14:paraId="42A625B7" w14:textId="77777777">
            <w:pPr>
              <w:keepNext/>
              <w:keepLines/>
            </w:pPr>
            <w:r w:rsidRPr="00A834A1">
              <w:t>Panamá, Panamá</w:t>
            </w:r>
          </w:p>
          <w:p w:rsidR="000D1C1A" w:rsidRPr="00A834A1" w:rsidP="00321C9F" w14:paraId="7B01A688" w14:textId="419A69E9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+(507) 560 0756, Ext. 0756</w:t>
            </w:r>
          </w:p>
          <w:p w:rsidR="000D1C1A" w:rsidRPr="00A834A1" w:rsidP="00321C9F" w14:paraId="095EB36F" w14:textId="5BDDD5ED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+(507) 560 0760, Ext. 0760</w:t>
            </w:r>
          </w:p>
          <w:p w:rsidR="000D1C1A" w:rsidRPr="004750CE" w:rsidP="00321C9F" w14:paraId="11165EE7" w14:textId="6864CD78">
            <w:pPr>
              <w:keepNext/>
              <w:keepLines/>
              <w:tabs>
                <w:tab w:val="left" w:pos="414"/>
              </w:tabs>
              <w:rPr>
                <w:lang w:val="en-GB"/>
              </w:rPr>
            </w:pPr>
            <w:r>
              <w:tab/>
            </w:r>
            <w:r w:rsidRPr="004750CE">
              <w:rPr>
                <w:lang w:val="en-GB"/>
              </w:rPr>
              <w:t>+(507) 560 4401, Ext. 4401</w:t>
            </w:r>
          </w:p>
          <w:p w:rsidR="000D1C1A" w:rsidRPr="004750CE" w:rsidP="00321C9F" w14:paraId="22437287" w14:textId="4FC5C7A9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4750CE">
              <w:rPr>
                <w:lang w:val="en-GB"/>
              </w:rPr>
              <w:t>Correos</w:t>
            </w:r>
            <w:r w:rsidRPr="004750CE">
              <w:rPr>
                <w:lang w:val="en-GB"/>
              </w:rPr>
              <w:t xml:space="preserve"> </w:t>
            </w:r>
            <w:r w:rsidRPr="004750CE">
              <w:rPr>
                <w:lang w:val="en-GB"/>
              </w:rPr>
              <w:t>electrónicos</w:t>
            </w:r>
            <w:r w:rsidRPr="004750CE">
              <w:rPr>
                <w:lang w:val="en-GB"/>
              </w:rPr>
              <w:t>:</w:t>
            </w:r>
            <w:r w:rsidRPr="004750CE">
              <w:rPr>
                <w:lang w:val="en-GB"/>
              </w:rPr>
              <w:tab/>
            </w:r>
            <w:hyperlink r:id="rId6" w:history="1">
              <w:r w:rsidRPr="004750CE">
                <w:rPr>
                  <w:rStyle w:val="Hyperlink"/>
                  <w:lang w:val="en-GB"/>
                </w:rPr>
                <w:t>dgnti@mici.gob.pa</w:t>
              </w:r>
            </w:hyperlink>
          </w:p>
          <w:p w:rsidR="000D1C1A" w:rsidRPr="004750CE" w:rsidP="00321C9F" w14:paraId="108D57C6" w14:textId="54E7444F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4750CE">
              <w:rPr>
                <w:lang w:val="en-GB"/>
              </w:rPr>
              <w:tab/>
            </w:r>
            <w:hyperlink r:id="rId7" w:history="1">
              <w:r w:rsidRPr="004750CE">
                <w:rPr>
                  <w:rStyle w:val="Hyperlink"/>
                  <w:lang w:val="en-GB"/>
                </w:rPr>
                <w:t>jgallardo@mici.gob.pa</w:t>
              </w:r>
            </w:hyperlink>
          </w:p>
          <w:p w:rsidR="000D1C1A" w:rsidRPr="004750CE" w:rsidP="00321C9F" w14:paraId="196CF949" w14:textId="0068B18B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4750CE">
              <w:rPr>
                <w:lang w:val="en-GB"/>
              </w:rPr>
              <w:tab/>
            </w:r>
            <w:hyperlink r:id="rId8" w:history="1">
              <w:r w:rsidRPr="004750CE">
                <w:rPr>
                  <w:rStyle w:val="Hyperlink"/>
                  <w:lang w:val="en-GB"/>
                </w:rPr>
                <w:t>hmontes@mici.gob.pa</w:t>
              </w:r>
            </w:hyperlink>
          </w:p>
          <w:p w:rsidR="000D1C1A" w:rsidRPr="004750CE" w:rsidP="000D29D0" w14:paraId="04A41B66" w14:textId="77777777">
            <w:pPr>
              <w:keepNext/>
              <w:keepLines/>
              <w:spacing w:after="120"/>
              <w:rPr>
                <w:lang w:val="en-GB"/>
              </w:rPr>
            </w:pPr>
            <w:r w:rsidRPr="004750CE">
              <w:rPr>
                <w:lang w:val="en-GB"/>
              </w:rPr>
              <w:t xml:space="preserve">Página Web: </w:t>
            </w:r>
            <w:hyperlink r:id="rId9" w:history="1">
              <w:r w:rsidRPr="004750CE">
                <w:rPr>
                  <w:color w:val="0000FF"/>
                  <w:u w:val="single"/>
                  <w:lang w:val="en-GB"/>
                </w:rPr>
                <w:t>https://mici.gob.pa/dgnti-consulta-publica/</w:t>
              </w:r>
            </w:hyperlink>
          </w:p>
        </w:tc>
      </w:tr>
    </w:tbl>
    <w:p w:rsidR="00337700" w:rsidRPr="004750CE" w:rsidP="00DA2000" w14:paraId="0B2EAC98" w14:textId="77777777">
      <w:pPr>
        <w:rPr>
          <w:lang w:val="en-GB"/>
        </w:rPr>
      </w:pPr>
    </w:p>
    <w:sectPr w:rsidSect="00321C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21C9F" w:rsidP="00321C9F" w14:paraId="6020D2AE" w14:textId="51CFB77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21C9F" w:rsidP="00321C9F" w14:paraId="23F30B18" w14:textId="4F39F44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9A33AF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1C9F" w:rsidRPr="00321C9F" w:rsidP="00321C9F" w14:paraId="1B200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1C9F">
      <w:t>G/</w:t>
    </w:r>
    <w:r w:rsidRPr="00321C9F">
      <w:t>SPS</w:t>
    </w:r>
    <w:r w:rsidRPr="00321C9F">
      <w:t>/N/PAN/114</w:t>
    </w:r>
  </w:p>
  <w:p w:rsidR="00321C9F" w:rsidRPr="00321C9F" w:rsidP="00321C9F" w14:paraId="06D701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1C9F" w:rsidRPr="00321C9F" w:rsidP="00321C9F" w14:paraId="5328EC5E" w14:textId="37D1CD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1C9F">
      <w:t xml:space="preserve">- </w:t>
    </w:r>
    <w:r w:rsidRPr="00321C9F">
      <w:fldChar w:fldCharType="begin"/>
    </w:r>
    <w:r w:rsidRPr="00321C9F">
      <w:instrText xml:space="preserve"> PAGE </w:instrText>
    </w:r>
    <w:r w:rsidRPr="00321C9F">
      <w:fldChar w:fldCharType="separate"/>
    </w:r>
    <w:r w:rsidRPr="00321C9F">
      <w:t>2</w:t>
    </w:r>
    <w:r w:rsidRPr="00321C9F">
      <w:fldChar w:fldCharType="end"/>
    </w:r>
    <w:r w:rsidRPr="00321C9F">
      <w:t xml:space="preserve"> -</w:t>
    </w:r>
  </w:p>
  <w:p w:rsidR="00B91FF3" w:rsidRPr="00321C9F" w:rsidP="00321C9F" w14:paraId="0979E296" w14:textId="49B5812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1C9F" w:rsidRPr="00321C9F" w:rsidP="00321C9F" w14:paraId="72E6E9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1C9F">
      <w:t>G/</w:t>
    </w:r>
    <w:r w:rsidRPr="00321C9F">
      <w:t>SPS</w:t>
    </w:r>
    <w:r w:rsidRPr="00321C9F">
      <w:t>/N/PAN/114</w:t>
    </w:r>
  </w:p>
  <w:p w:rsidR="00321C9F" w:rsidRPr="00321C9F" w:rsidP="00321C9F" w14:paraId="5C2670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1C9F" w:rsidRPr="00321C9F" w:rsidP="00321C9F" w14:paraId="09B86237" w14:textId="1F8C15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1C9F">
      <w:t xml:space="preserve">- </w:t>
    </w:r>
    <w:r w:rsidRPr="00321C9F">
      <w:fldChar w:fldCharType="begin"/>
    </w:r>
    <w:r w:rsidRPr="00321C9F">
      <w:instrText xml:space="preserve"> PAGE </w:instrText>
    </w:r>
    <w:r w:rsidRPr="00321C9F">
      <w:fldChar w:fldCharType="separate"/>
    </w:r>
    <w:r w:rsidRPr="00321C9F">
      <w:rPr>
        <w:noProof/>
      </w:rPr>
      <w:t>2</w:t>
    </w:r>
    <w:r w:rsidRPr="00321C9F">
      <w:fldChar w:fldCharType="end"/>
    </w:r>
    <w:r w:rsidRPr="00321C9F">
      <w:t xml:space="preserve"> -</w:t>
    </w:r>
  </w:p>
  <w:p w:rsidR="00DD65B2" w:rsidRPr="00321C9F" w:rsidP="00321C9F" w14:paraId="7D7D5D88" w14:textId="28BD858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0DC805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9EFA6B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9DA903E" w14:textId="2CC9C4B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9BD49E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634D0C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05pt;height:56.4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339C166" w14:textId="77777777">
          <w:pPr>
            <w:jc w:val="right"/>
            <w:rPr>
              <w:b/>
              <w:szCs w:val="18"/>
            </w:rPr>
          </w:pPr>
        </w:p>
      </w:tc>
    </w:tr>
    <w:tr w14:paraId="47DB571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DCA348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21C9F" w:rsidP="00043017" w14:paraId="476E681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/N/PAN/114</w:t>
          </w:r>
        </w:p>
        <w:bookmarkEnd w:id="1"/>
        <w:p w:rsidR="00043017" w:rsidRPr="00B91FF3" w:rsidP="00043017" w14:paraId="707B5E3E" w14:textId="5DFCD46E">
          <w:pPr>
            <w:jc w:val="right"/>
            <w:rPr>
              <w:b/>
              <w:szCs w:val="18"/>
            </w:rPr>
          </w:pPr>
        </w:p>
      </w:tc>
    </w:tr>
    <w:tr w14:paraId="552903C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4A94D8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E10CA2E" w14:textId="0C66FE81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4</w:t>
          </w:r>
          <w:r w:rsidRPr="00B91FF3" w:rsidR="00321C9F">
            <w:rPr>
              <w:szCs w:val="18"/>
            </w:rPr>
            <w:t xml:space="preserve"> de marzo de 2026</w:t>
          </w:r>
          <w:bookmarkEnd w:id="3"/>
        </w:p>
      </w:tc>
    </w:tr>
    <w:tr w14:paraId="1F27B87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182C48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(26-1699)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0BB5E9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D6A8AB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1DD8F1E" w14:textId="6CDE4C6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BC84778" w14:textId="3559952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B57F98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30470379">
    <w:abstractNumId w:val="8"/>
  </w:num>
  <w:num w:numId="2" w16cid:durableId="1311591349">
    <w:abstractNumId w:val="3"/>
  </w:num>
  <w:num w:numId="3" w16cid:durableId="461264774">
    <w:abstractNumId w:val="2"/>
  </w:num>
  <w:num w:numId="4" w16cid:durableId="864442514">
    <w:abstractNumId w:val="1"/>
  </w:num>
  <w:num w:numId="5" w16cid:durableId="1420833098">
    <w:abstractNumId w:val="0"/>
  </w:num>
  <w:num w:numId="6" w16cid:durableId="1413316106">
    <w:abstractNumId w:val="13"/>
  </w:num>
  <w:num w:numId="7" w16cid:durableId="486748939">
    <w:abstractNumId w:val="11"/>
  </w:num>
  <w:num w:numId="8" w16cid:durableId="1604267272">
    <w:abstractNumId w:val="14"/>
  </w:num>
  <w:num w:numId="9" w16cid:durableId="826474875">
    <w:abstractNumId w:val="10"/>
  </w:num>
  <w:num w:numId="10" w16cid:durableId="614213668">
    <w:abstractNumId w:val="9"/>
  </w:num>
  <w:num w:numId="11" w16cid:durableId="1896432001">
    <w:abstractNumId w:val="7"/>
  </w:num>
  <w:num w:numId="12" w16cid:durableId="1126199797">
    <w:abstractNumId w:val="6"/>
  </w:num>
  <w:num w:numId="13" w16cid:durableId="961115746">
    <w:abstractNumId w:val="5"/>
  </w:num>
  <w:num w:numId="14" w16cid:durableId="1033380817">
    <w:abstractNumId w:val="4"/>
  </w:num>
  <w:num w:numId="15" w16cid:durableId="825510864">
    <w:abstractNumId w:val="12"/>
  </w:num>
  <w:num w:numId="16" w16cid:durableId="15524955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5120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1C1A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1C9F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50CE"/>
    <w:rsid w:val="00484AF1"/>
    <w:rsid w:val="004E1A35"/>
    <w:rsid w:val="004E55A0"/>
    <w:rsid w:val="004F4ADE"/>
    <w:rsid w:val="005108DC"/>
    <w:rsid w:val="00524772"/>
    <w:rsid w:val="00533502"/>
    <w:rsid w:val="00556609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6B64"/>
    <w:rsid w:val="00AC7C4D"/>
    <w:rsid w:val="00AD1003"/>
    <w:rsid w:val="00AD59FD"/>
    <w:rsid w:val="00AE3C0C"/>
    <w:rsid w:val="00AF33E8"/>
    <w:rsid w:val="00B016F2"/>
    <w:rsid w:val="00B01FC3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D20102"/>
  <w15:docId w15:val="{6369B80D-184C-4A0D-BE72-0AAFA1A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321C9F"/>
    <w:rPr>
      <w:rFonts w:ascii="Verdana" w:hAnsi="Verdana"/>
      <w:sz w:val="18"/>
      <w:szCs w:val="22"/>
      <w:lang w:val="es-ES"/>
    </w:rPr>
  </w:style>
  <w:style w:type="character" w:styleId="UnresolvedMention">
    <w:name w:val="Unresolved Mention"/>
    <w:basedOn w:val="DefaultParagraphFont"/>
    <w:uiPriority w:val="99"/>
    <w:rsid w:val="00321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AN/26_01223_00_s.pdf" TargetMode="External" /><Relationship Id="rId6" Type="http://schemas.openxmlformats.org/officeDocument/2006/relationships/hyperlink" Target="mailto:dgnti@mici.gob.pa" TargetMode="External" /><Relationship Id="rId7" Type="http://schemas.openxmlformats.org/officeDocument/2006/relationships/hyperlink" Target="mailto:jgallardo@mici.gob.pa" TargetMode="External" /><Relationship Id="rId8" Type="http://schemas.openxmlformats.org/officeDocument/2006/relationships/hyperlink" Target="mailto:hmontes@mici.gob.pa" TargetMode="External" /><Relationship Id="rId9" Type="http://schemas.openxmlformats.org/officeDocument/2006/relationships/hyperlink" Target="https://mici.gob.pa/dgnti-consulta-publica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d38d739d-265a-40b9-b46c-e62372bef0e1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8747A3E-0AFB-4CA3-991E-0453422170C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2026-03-04T09:03:00Z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G/SPS/N/PAN/114</vt:lpwstr>
  </property>
  <property fmtid="{D5CDD505-2E9C-101B-9397-08002B2CF9AE}" pid="3" name="TitusGUID">
    <vt:lpwstr>d38d739d-265a-40b9-b46c-e62372bef0e1</vt:lpwstr>
  </property>
  <property fmtid="{D5CDD505-2E9C-101B-9397-08002B2CF9AE}" pid="4" name="WTOCLASSIFICATION">
    <vt:lpwstr>WTO OFFICIAL</vt:lpwstr>
  </property>
</Properties>
</file>