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5F6D95" w14:paraId="1B3C3FF3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F8D16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6E11F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B4E00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0403C4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3C73F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9212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925EDF" w:rsidRPr="00A834A1" w:rsidP="005F6D95" w14:paraId="65178E9E" w14:textId="2C56209B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  <w:r w:rsidR="005F6D95">
              <w:t xml:space="preserve"> - </w:t>
            </w:r>
            <w:r w:rsidRPr="00A834A1">
              <w:t>Dirección General de Normas y Tecnología Industrial</w:t>
            </w:r>
          </w:p>
        </w:tc>
      </w:tr>
      <w:tr w14:paraId="63B6F2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DE039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3CFCB1" w14:textId="3AC2AEF6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Frutas</w:t>
            </w:r>
            <w:r w:rsidR="005F6D95">
              <w:t>.</w:t>
            </w:r>
            <w:r w:rsidRPr="00A834A1">
              <w:t xml:space="preserve"> Hortalizas (</w:t>
            </w:r>
            <w:r w:rsidR="005F6D95">
              <w:t>c</w:t>
            </w:r>
            <w:r w:rsidRPr="00A834A1">
              <w:t>ódigo(s) de la ICS: 67.080)</w:t>
            </w:r>
          </w:p>
        </w:tc>
      </w:tr>
      <w:tr w14:paraId="4257BF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8807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9485A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1D739F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8D6C53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EE37F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4EA53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246CAB" w14:textId="6C03AA94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FRUTAS Y HORTALIZAS FRESCAS. EVALUACIÓN DE LA CONFORMIDAD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3769BF7A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https://members.wto.org/crnattachments/2026/SPS/PAN/26_00086_00_s.pdf</w:t>
              </w:r>
            </w:hyperlink>
          </w:p>
        </w:tc>
      </w:tr>
      <w:tr w14:paraId="191700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A3912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03C32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925EDF" w:rsidRPr="005F6D95" w:rsidP="00DA2000" w14:paraId="7962AE65" w14:textId="59BEEF3A">
            <w:pPr>
              <w:numPr>
                <w:ilvl w:val="0"/>
                <w:numId w:val="17"/>
              </w:numPr>
              <w:spacing w:before="120" w:after="120"/>
            </w:pPr>
            <w:r w:rsidRPr="005F6D95">
              <w:t>Reglamento Técnico TECNOLOGÍA DE LOS ALIMENTOS. FRUTAS Y HORTALIZAS FRESCAS. EVALUACIÓN DE LA CONFORMIDAD (9 página(s), en español)</w:t>
            </w:r>
          </w:p>
          <w:p w:rsidR="00925EDF" w:rsidRPr="00A834A1" w:rsidP="00DA2000" w14:paraId="59C942DD" w14:textId="7C12C8F0">
            <w:pPr>
              <w:spacing w:before="120" w:after="120"/>
            </w:pPr>
            <w:r w:rsidRPr="00A834A1">
              <w:t>El presente Reglamento Técnico establece los procedimientos de evaluación de la conformidad aplicables a las frutas, hortalizas y vegetales, con el fin de verificar el cumplimiento de los Reglamentos Técnicos vigentes, proteger la salud del consumidor y garantizar prácticas leales de comercio en el territorio de Panamá.</w:t>
            </w:r>
          </w:p>
        </w:tc>
      </w:tr>
      <w:tr w14:paraId="5E2EFE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8CADB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F02E5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1644C3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E16D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F6D95" w14:paraId="22415C1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F6D95" w14:paraId="40774BF4" w14:textId="22BB00EF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5F6D95" w14:paraId="3BA9A8C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4284C" w14:paraId="76BDC68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F6D95" w14:paraId="6975B46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397D12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24096C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12E5D5B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1A7E7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1AF53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F6D95" w14:paraId="103D0E9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925EDF" w:rsidRPr="00A834A1" w:rsidP="00B23375" w14:paraId="1165ED75" w14:textId="76479F9C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CXS 192-1995.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0E536E3C" w14:textId="5AE72DCF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CXS 193-1995.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31B8A746" w14:textId="2BB09333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prácticas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CXC 1-1969.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13F5FA1B" w14:textId="00C3A34B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OMS.2003. Código de prácticas de higiene para frutas y hortalizas frescas. Código de prácticas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CXC 53-2003.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5E8890D5" w14:textId="6D5E21D1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CXG 21-1997.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38292FF8" w14:textId="52FD8A5D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CXS 1-1985.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1F2208D9" w14:textId="142131FD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alimentos no destinados a la </w:t>
            </w:r>
            <w:r w:rsidRPr="00A834A1">
              <w:rPr>
                <w:i/>
                <w:iCs/>
              </w:rPr>
              <w:t>ventaal</w:t>
            </w:r>
            <w:r w:rsidRPr="00A834A1">
              <w:rPr>
                <w:i/>
                <w:iCs/>
              </w:rPr>
              <w:t xml:space="preserve"> por menor.</w:t>
            </w:r>
            <w:r w:rsidR="0073251C">
              <w:rPr>
                <w:i/>
                <w:iCs/>
              </w:rPr>
              <w:t xml:space="preserve"> </w:t>
            </w:r>
            <w:r w:rsidRPr="00A834A1">
              <w:t>Norma del Codex</w:t>
            </w:r>
            <w:r w:rsidR="0073251C">
              <w:t xml:space="preserve">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CXS 346-2021.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77BA38CE" w14:textId="10B30985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CXS 234- 1999. Comisión del Codex </w:t>
            </w:r>
            <w:r w:rsidRPr="00A834A1">
              <w:t>Alimentarius</w:t>
            </w:r>
            <w:r w:rsidRPr="00A834A1">
              <w:t>. Roma</w:t>
            </w:r>
          </w:p>
          <w:p w:rsidR="00925EDF" w:rsidRPr="00A834A1" w:rsidP="00B23375" w14:paraId="42B48039" w14:textId="2223BF5A">
            <w:pPr>
              <w:numPr>
                <w:ilvl w:val="0"/>
                <w:numId w:val="18"/>
              </w:numPr>
              <w:spacing w:after="120"/>
              <w:ind w:left="400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Código de prácticas para el envasado y transporte de frutas y hortalizas frescas.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5F6D95">
              <w:t>No</w:t>
            </w:r>
            <w:r w:rsidRPr="00A834A1">
              <w:t xml:space="preserve"> CXC 44-1995. Comisión del Codex </w:t>
            </w:r>
            <w:r w:rsidRPr="00A834A1">
              <w:t>Alimentarius</w:t>
            </w:r>
            <w:r w:rsidRPr="00A834A1">
              <w:t>. Roma</w:t>
            </w:r>
          </w:p>
        </w:tc>
      </w:tr>
      <w:tr w14:paraId="141959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61FBB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03A8C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26DA9D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F90D7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91062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A5DFA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7811F0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A96EF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977A9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46133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635D3A6A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258873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64E53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8BADBC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25EDF" w:rsidRPr="00A834A1" w:rsidP="000D29D0" w14:paraId="438D545A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925EDF" w:rsidRPr="00A834A1" w:rsidP="000D29D0" w14:paraId="1FE9E759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925EDF" w:rsidRPr="00A834A1" w:rsidP="000D29D0" w14:paraId="6B5D1553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925EDF" w:rsidRPr="00A834A1" w:rsidP="000D29D0" w14:paraId="6D0802BE" w14:textId="77777777">
            <w:pPr>
              <w:keepNext/>
              <w:keepLines/>
            </w:pPr>
            <w:r w:rsidRPr="00A834A1">
              <w:t>Panamá, Panamá</w:t>
            </w:r>
          </w:p>
          <w:p w:rsidR="0073251C" w:rsidRPr="001A5E6C" w:rsidP="0073251C" w14:paraId="5C29C325" w14:textId="77777777">
            <w:pPr>
              <w:keepNext/>
              <w:keepLines/>
              <w:tabs>
                <w:tab w:val="left" w:pos="434"/>
              </w:tabs>
              <w:rPr>
                <w:lang w:val="es-ES_tradnl"/>
              </w:rPr>
            </w:pPr>
            <w:r w:rsidRPr="001A5E6C">
              <w:rPr>
                <w:lang w:val="es-ES_tradnl"/>
              </w:rPr>
              <w:t>Tel:</w:t>
            </w:r>
            <w:r w:rsidRPr="001A5E6C">
              <w:rPr>
                <w:lang w:val="es-ES_tradnl"/>
              </w:rPr>
              <w:tab/>
              <w:t>+(507) 560 0756, Ext. 0756</w:t>
            </w:r>
          </w:p>
          <w:p w:rsidR="0073251C" w:rsidRPr="001A5E6C" w:rsidP="0073251C" w14:paraId="493052E9" w14:textId="77777777">
            <w:pPr>
              <w:keepNext/>
              <w:keepLines/>
              <w:tabs>
                <w:tab w:val="left" w:pos="434"/>
              </w:tabs>
              <w:rPr>
                <w:lang w:val="es-ES_tradnl"/>
              </w:rPr>
            </w:pPr>
            <w:r w:rsidRPr="001A5E6C">
              <w:rPr>
                <w:lang w:val="es-ES_tradnl"/>
              </w:rPr>
              <w:tab/>
              <w:t>+(507) 560 0760, Ext. 0760</w:t>
            </w:r>
          </w:p>
          <w:p w:rsidR="0073251C" w:rsidRPr="0073251C" w:rsidP="0073251C" w14:paraId="5DE980C5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1A5E6C">
              <w:rPr>
                <w:lang w:val="es-ES_tradnl"/>
              </w:rPr>
              <w:tab/>
            </w:r>
            <w:r w:rsidRPr="0073251C">
              <w:rPr>
                <w:lang w:val="en-GB"/>
              </w:rPr>
              <w:t>+(507) 560 4401, Ext. 4401</w:t>
            </w:r>
          </w:p>
          <w:p w:rsidR="0073251C" w:rsidRPr="0073251C" w:rsidP="0073251C" w14:paraId="61FDF462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73251C">
              <w:rPr>
                <w:lang w:val="en-GB"/>
              </w:rPr>
              <w:t>Correos</w:t>
            </w:r>
            <w:r w:rsidRPr="0073251C">
              <w:rPr>
                <w:lang w:val="en-GB"/>
              </w:rPr>
              <w:t xml:space="preserve"> </w:t>
            </w:r>
            <w:r w:rsidRPr="0073251C">
              <w:rPr>
                <w:lang w:val="en-GB"/>
              </w:rPr>
              <w:t>electrónicos</w:t>
            </w:r>
            <w:r w:rsidRPr="0073251C">
              <w:rPr>
                <w:lang w:val="en-GB"/>
              </w:rPr>
              <w:t>:</w:t>
            </w:r>
            <w:r w:rsidRPr="0073251C">
              <w:rPr>
                <w:lang w:val="en-GB"/>
              </w:rPr>
              <w:tab/>
            </w:r>
            <w:hyperlink r:id="rId6" w:history="1">
              <w:r w:rsidRPr="0073251C">
                <w:rPr>
                  <w:rStyle w:val="Hyperlink"/>
                  <w:lang w:val="en-GB"/>
                </w:rPr>
                <w:t>dgnti@mici.gob.pa</w:t>
              </w:r>
            </w:hyperlink>
          </w:p>
          <w:p w:rsidR="0073251C" w:rsidRPr="00A616A7" w:rsidP="0073251C" w14:paraId="6695463D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73251C">
              <w:rPr>
                <w:lang w:val="en-GB"/>
              </w:rPr>
              <w:tab/>
            </w:r>
            <w:hyperlink r:id="rId7" w:history="1">
              <w:r w:rsidRPr="00CB0E4C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73251C" w:rsidRPr="00A616A7" w:rsidP="0073251C" w14:paraId="07B48EEB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73251C">
              <w:rPr>
                <w:lang w:val="en-GB"/>
              </w:rPr>
              <w:tab/>
            </w:r>
            <w:hyperlink r:id="rId8" w:history="1">
              <w:r w:rsidRPr="00CB0E4C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925EDF" w:rsidRPr="001A5E6C" w:rsidP="000D29D0" w14:paraId="53C772B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A5E6C">
              <w:rPr>
                <w:lang w:val="en-GB"/>
              </w:rPr>
              <w:t xml:space="preserve">Página Web: </w:t>
            </w:r>
            <w:hyperlink r:id="rId9" w:history="1">
              <w:r w:rsidRPr="001A5E6C">
                <w:rPr>
                  <w:color w:val="0000FF"/>
                  <w:u w:val="single"/>
                  <w:lang w:val="en-GB"/>
                </w:rPr>
                <w:t>https://mici.gob.pa/dgnti-consulta-publica/</w:t>
              </w:r>
            </w:hyperlink>
          </w:p>
        </w:tc>
      </w:tr>
    </w:tbl>
    <w:p w:rsidR="00337700" w:rsidRPr="001A5E6C" w:rsidP="00DA2000" w14:paraId="7ED433B2" w14:textId="77777777">
      <w:pPr>
        <w:rPr>
          <w:lang w:val="en-GB"/>
        </w:rPr>
      </w:pPr>
    </w:p>
    <w:sectPr w:rsidSect="00B233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23375" w:rsidP="00B23375" w14:paraId="1D9CA0B9" w14:textId="3DFE652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23375" w:rsidP="00B23375" w14:paraId="3C119A93" w14:textId="726498A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B34587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3375" w:rsidRPr="00B23375" w:rsidP="00B23375" w14:paraId="54839E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375">
      <w:t>G/SPS/N/PAN/109</w:t>
    </w:r>
  </w:p>
  <w:p w:rsidR="00B23375" w:rsidRPr="00B23375" w:rsidP="00B23375" w14:paraId="6E69CD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23375" w:rsidRPr="00B23375" w:rsidP="00B23375" w14:paraId="74019C39" w14:textId="585FCD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375">
      <w:t xml:space="preserve">- </w:t>
    </w:r>
    <w:r w:rsidRPr="00B23375">
      <w:fldChar w:fldCharType="begin"/>
    </w:r>
    <w:r w:rsidRPr="00B23375">
      <w:instrText xml:space="preserve"> PAGE </w:instrText>
    </w:r>
    <w:r w:rsidRPr="00B23375">
      <w:fldChar w:fldCharType="separate"/>
    </w:r>
    <w:r w:rsidRPr="00B23375">
      <w:t>2</w:t>
    </w:r>
    <w:r w:rsidRPr="00B23375">
      <w:fldChar w:fldCharType="end"/>
    </w:r>
    <w:r w:rsidRPr="00B23375">
      <w:t xml:space="preserve"> -</w:t>
    </w:r>
  </w:p>
  <w:p w:rsidR="00B91FF3" w:rsidRPr="00B23375" w:rsidP="00B23375" w14:paraId="463AD28A" w14:textId="7C1E71C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3375" w:rsidRPr="00B23375" w:rsidP="00B23375" w14:paraId="02D3D0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375">
      <w:t>G/SPS/N/PAN/109</w:t>
    </w:r>
  </w:p>
  <w:p w:rsidR="00B23375" w:rsidRPr="00B23375" w:rsidP="00B23375" w14:paraId="234F8E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23375" w:rsidRPr="00B23375" w:rsidP="00B23375" w14:paraId="2FF7004B" w14:textId="130434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23375">
      <w:t xml:space="preserve">- </w:t>
    </w:r>
    <w:r w:rsidRPr="00B23375">
      <w:fldChar w:fldCharType="begin"/>
    </w:r>
    <w:r w:rsidRPr="00B23375">
      <w:instrText xml:space="preserve"> PAGE </w:instrText>
    </w:r>
    <w:r w:rsidRPr="00B23375">
      <w:fldChar w:fldCharType="separate"/>
    </w:r>
    <w:r w:rsidRPr="00B23375">
      <w:t>3</w:t>
    </w:r>
    <w:r w:rsidRPr="00B23375">
      <w:fldChar w:fldCharType="end"/>
    </w:r>
    <w:r w:rsidRPr="00B23375">
      <w:t xml:space="preserve"> -</w:t>
    </w:r>
  </w:p>
  <w:p w:rsidR="00DD65B2" w:rsidRPr="00B23375" w:rsidP="00B23375" w14:paraId="662F4EF1" w14:textId="67C9C2D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CFC53D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F9266E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E8204BC" w14:textId="3E832FA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00EBE9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7298478" w14:textId="3EF75892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ECBEB4E" w14:textId="77777777">
          <w:pPr>
            <w:jc w:val="right"/>
            <w:rPr>
              <w:b/>
              <w:szCs w:val="18"/>
            </w:rPr>
          </w:pPr>
        </w:p>
      </w:tc>
    </w:tr>
    <w:tr w14:paraId="2B93EDD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0B37E7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23375" w:rsidP="00043017" w14:paraId="71A6079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G/SPS/N/PAN/109</w:t>
          </w:r>
        </w:p>
        <w:bookmarkEnd w:id="1"/>
        <w:p w:rsidR="00043017" w:rsidRPr="00B91FF3" w:rsidP="00043017" w14:paraId="3767FE4F" w14:textId="3CC877BB">
          <w:pPr>
            <w:jc w:val="right"/>
            <w:rPr>
              <w:b/>
              <w:szCs w:val="18"/>
            </w:rPr>
          </w:pPr>
        </w:p>
      </w:tc>
    </w:tr>
    <w:tr w14:paraId="75D684C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5186CC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51305E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6DE409A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1B0848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(26-0230)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BDA39B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038B62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0540B89" w14:textId="3262A1E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34B70F2" w14:textId="7D9ABC9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AB0BF86" w14:textId="6F6B45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78683097">
    <w:abstractNumId w:val="8"/>
  </w:num>
  <w:num w:numId="2" w16cid:durableId="271520463">
    <w:abstractNumId w:val="3"/>
  </w:num>
  <w:num w:numId="3" w16cid:durableId="1849517872">
    <w:abstractNumId w:val="2"/>
  </w:num>
  <w:num w:numId="4" w16cid:durableId="1738816053">
    <w:abstractNumId w:val="1"/>
  </w:num>
  <w:num w:numId="5" w16cid:durableId="1231304728">
    <w:abstractNumId w:val="0"/>
  </w:num>
  <w:num w:numId="6" w16cid:durableId="1600142091">
    <w:abstractNumId w:val="13"/>
  </w:num>
  <w:num w:numId="7" w16cid:durableId="1950357767">
    <w:abstractNumId w:val="11"/>
  </w:num>
  <w:num w:numId="8" w16cid:durableId="1065881001">
    <w:abstractNumId w:val="14"/>
  </w:num>
  <w:num w:numId="9" w16cid:durableId="1119373507">
    <w:abstractNumId w:val="10"/>
  </w:num>
  <w:num w:numId="10" w16cid:durableId="1401559956">
    <w:abstractNumId w:val="9"/>
  </w:num>
  <w:num w:numId="11" w16cid:durableId="354775184">
    <w:abstractNumId w:val="7"/>
  </w:num>
  <w:num w:numId="12" w16cid:durableId="501242522">
    <w:abstractNumId w:val="6"/>
  </w:num>
  <w:num w:numId="13" w16cid:durableId="253440377">
    <w:abstractNumId w:val="5"/>
  </w:num>
  <w:num w:numId="14" w16cid:durableId="596640400">
    <w:abstractNumId w:val="4"/>
  </w:num>
  <w:num w:numId="15" w16cid:durableId="597761694">
    <w:abstractNumId w:val="12"/>
  </w:num>
  <w:num w:numId="16" w16cid:durableId="13845970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6135104">
    <w:abstractNumId w:val="15"/>
  </w:num>
  <w:num w:numId="18" w16cid:durableId="20645030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284C"/>
    <w:rsid w:val="00146A42"/>
    <w:rsid w:val="001737B0"/>
    <w:rsid w:val="001A4872"/>
    <w:rsid w:val="001A5E6C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5F6D95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251C"/>
    <w:rsid w:val="00735ADA"/>
    <w:rsid w:val="007403F5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25EDF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16A7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3375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2583"/>
    <w:rsid w:val="00C8318A"/>
    <w:rsid w:val="00C97117"/>
    <w:rsid w:val="00CB0E4C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2B8B51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86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8e56c8e0-1ae6-4486-91ac-b1ff7cf968e1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3436688-059C-44F3-934B-C0572C030BA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Doleans, Marion</cp:lastModifiedBy>
  <cp:revision>8</cp:revision>
  <dcterms:created xsi:type="dcterms:W3CDTF">2026-01-08T11:50:00Z</dcterms:created>
  <dcterms:modified xsi:type="dcterms:W3CDTF">2026-01-08T14:30:00Z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G/SPS/N/PAN/109</vt:lpwstr>
  </property>
  <property fmtid="{D5CDD505-2E9C-101B-9397-08002B2CF9AE}" pid="3" name="TitusGUID">
    <vt:lpwstr>8e56c8e0-1ae6-4486-91ac-b1ff7cf968e1</vt:lpwstr>
  </property>
  <property fmtid="{D5CDD505-2E9C-101B-9397-08002B2CF9AE}" pid="4" name="WTOCLASSIFICATION">
    <vt:lpwstr>PUBLIC</vt:lpwstr>
  </property>
</Properties>
</file>