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EE071">
      <w:pPr>
        <w:rPr>
          <w:rFonts w:ascii="微软雅黑" w:hAnsi="微软雅黑" w:eastAsia="微软雅黑" w:cs="微软雅黑"/>
          <w:i w:val="0"/>
          <w:iCs w:val="0"/>
          <w:caps w:val="0"/>
          <w:color w:val="000000"/>
          <w:spacing w:val="0"/>
          <w:sz w:val="21"/>
          <w:szCs w:val="21"/>
        </w:rPr>
      </w:pPr>
      <w:r>
        <w:rPr>
          <w:rFonts w:ascii="微软雅黑" w:hAnsi="微软雅黑" w:eastAsia="微软雅黑" w:cs="微软雅黑"/>
          <w:i w:val="0"/>
          <w:iCs w:val="0"/>
          <w:caps w:val="0"/>
          <w:color w:val="000000"/>
          <w:spacing w:val="0"/>
          <w:sz w:val="21"/>
          <w:szCs w:val="21"/>
        </w:rPr>
        <w:t xml:space="preserve">II. Petitions Received </w:t>
      </w:r>
    </w:p>
    <w:p w14:paraId="5BE07D20">
      <w:pPr>
        <w:rPr>
          <w:sz w:val="21"/>
          <w:szCs w:val="21"/>
        </w:rPr>
      </w:pPr>
      <w:bookmarkStart w:id="0" w:name="_GoBack"/>
      <w:bookmarkEnd w:id="0"/>
      <w:r>
        <w:rPr>
          <w:rFonts w:ascii="微软雅黑" w:hAnsi="微软雅黑" w:eastAsia="微软雅黑" w:cs="微软雅黑"/>
          <w:i w:val="0"/>
          <w:iCs w:val="0"/>
          <w:caps w:val="0"/>
          <w:color w:val="000000"/>
          <w:spacing w:val="0"/>
          <w:sz w:val="21"/>
          <w:szCs w:val="21"/>
        </w:rPr>
        <w:t>This unit provides the following information about the petitions: The Pesticide Petition (PP) Identification (IN) number; EPA docket ID number for the petition; Information about the petition (i.e., name of the petitioner, name of the pesticide chemical residue and the commodities for which a tolerance or exemption is sought); The analytical method available to detect and measure the pesticide chemical residue or the petitioner's statement about why such a method is not needed; and The division to contact for that petition. Additional information on the petitions may be obtained through the petition summaries that were prepared by the petitioners pursuant to 21 U.S.C. 346a(d)(2)(A)(i)(I) and 40 CFR 180.7(b)(1), which are included in the docket for the petition as identified in this unit. PP IN-11877. EPA-HQ-OPP-2025-0090. Compliance Services International (7501 Bridgeport Way West Lakewood, WA 98499), on behalf of SpayVac-for-Wildlife, Inc. (1202 Ann Street Madison, WI 53713) requests to establish an exemption from the requirement of a tolerance for residues of phosphatidylcholine (CAS Reg. No. 97281-47-5) when used as a pesticide inert ingredient (adjuvant/carrier) in pesticide formulations under 40 CFR 180.930 applied in equine, cervid, bovine, porcine, pinniped, elephant, raccoon, feral dog, and feral cat contraceptive formulations. The petitioner believes no analytical method is needed because it is not required for an exemption from the requirement of a tolerance. Contact: RD. PP IN-11993. EPA-HQ-OPP-2025-0816. Wagner Regulatory Associates, Inc. as part of Syntech Research Group (7217 Lancaster Pike, Hockessin, DE 19707) on behalf of Minagro (1, avenue Jean Monnet 1348 Louvain-la-Neuve Belgium), requests to amend an exemption from the requirement of a tolerance for residues of cinnamaldehyde (CAS Reg. No. 104-55-2) when used as a pesticide inert ingredient (preservative/ stabilizer) in pesticide formulations under 40 CFR 180.910 (not to exceed 100 ppm). The petitioner believes no analytical method [[Page 57946]] is needed because it is not required for an exemption from the requirement of a tolerance. Contact: RD. PP 4E9137. EPA-HQ-OPP-2024-0361. Interregional Research Project Number 4 (IR-4), IR-4 Project Headquarters, North Carolina State University, 1730 Varsity Drive, Venture IV, Suite 210, Raleigh, NC 27606, requests to establish a tolerance in 40 CFR 180.675 for residues of tolfenpyrad (4-chloro-3-ethyl-1-methyl-N-[[4-(4- methylphenoxy)phenyl]methyl]-1H-pyrazole-5-carboxamide), including its metabolites and degradates, in or on the vegetable, legume, bean, edible podded, subgroup 6-22A. An acceptable high performance liquid chromatography method with tandem mass spectrometry detection (LC/MS/ MS) for enforcement of tolfenpyrad residue tolerances in/on plant commodities exist. Contact: RD. PP 4F9154. EPA-HQ-OPP-2025-0850. Nissan Chemical Corporation, 5-1 Nihonbashi 2-Chome Chuo-ku, Tokyo 103-6119 Japan, requests to establish a tolerance in 40 CFR part 180 for residues of the fungicide, Quinoxyfen, in or on Fruit, pome, group 11-10 at 0.20 parts per million (ppm), Fruit, stone, group 12-12 at 0.70 parts per million (ppm). The analytical method uses high performance liquid chromatography by means of tandem mass spectrometric detection to measure and evaluate the chemical Quinoxyfen. Contact: RD. PP 5E9179. EPA-HQ-OPP-2025-0270. Interregional Research Project Number 4 (IR-4), IR-4 Project Headquarters, North Carolina State University, 1730 Varsity Drive, Venture IV, Suite 210, Raleigh, NC 27606, requests to establish a tolerance in 40 CFR 180.444 for residues of the fungicide sulfur dioxide (determined as (SO2)), in or on the raw agricultural commodity fig at 1.5 parts per million (ppm). An adequate enforcement methodology using high performance liquid chromatography with tandem mass spectrometry (LC-MS/ MS) is used to measure and evaluate the sulfite residues of sulfur dioxide to enforce the tolerance expression. Contact: RD. PP 5F9174. EPA-HQ-OPP-2025-1415. BASF Co</w:t>
      </w:r>
      <w:r>
        <w:rPr>
          <w:rFonts w:ascii="微软雅黑" w:hAnsi="微软雅黑" w:eastAsia="微软雅黑" w:cs="微软雅黑"/>
          <w:i w:val="0"/>
          <w:iCs w:val="0"/>
          <w:caps w:val="0"/>
          <w:color w:val="000000"/>
          <w:spacing w:val="0"/>
          <w:sz w:val="21"/>
          <w:szCs w:val="21"/>
        </w:rPr>
        <w:t>rporation, Agricultural Solutions, 26 Davis Drive, P.O. Box 13528, Research Triangle Park, NC 27709, requests to establish a tolerance in 40 CFR part 180 for residues of the fungicide fluxapyroxad (3- (difluoromethyl)-1-methyl- N -(3',4',5'-trifluoro[1,1'-biphenyl]-2-yl)- 1 H -pyrazole-4-carboxamide), including its metabolites and degradates, in or on pennycress, seed at 0.9 parts per million (ppm). Independently validated analytical methods that have been submitted are used to measure and evaluate the chemical fluxapyroxad. Contact: RD. Authority: 21 U.S.C. 346a. Dated: December 9, 2025.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7F0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2025-12-17T07:25:17Z</dcterms:created>
  <dc:creator>Lenovo</dc:creator>
  <cp:lastModifiedBy>欢喜葡萄</cp:lastModifiedBy>
  <dcterms:modified xsi:type="dcterms:W3CDTF">2025-12-17T07:25:59Z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eyJoZGlkIjoiN2ZlMWVkNmE0ODNiM2U0OWY5MTNiMWY0OTk5NGU3NGUiLCJ1c2VySWQiOiIxMzg2NzY4MTY1In0=</vt:lpwstr>
  </property>
  <property fmtid="{D5CDD505-2E9C-101B-9397-08002B2CF9AE}" pid="4" name="ICV">
    <vt:lpwstr>ECE6650FFF514DD183E3B31ECC4674C4_12</vt:lpwstr>
  </property>
</Properties>
</file>