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BD6A5B8" w14:textId="77777777">
      <w:pPr>
        <w:pStyle w:val="Title"/>
        <w:rPr>
          <w:caps w:val="0"/>
          <w:kern w:val="0"/>
        </w:rPr>
      </w:pPr>
      <w:r w:rsidRPr="00934B4C">
        <w:rPr>
          <w:caps w:val="0"/>
          <w:kern w:val="0"/>
        </w:rPr>
        <w:t>NOTIFICATION</w:t>
      </w:r>
    </w:p>
    <w:p w:rsidR="00AD0FDA" w:rsidRPr="00934B4C" w:rsidP="00934B4C" w14:paraId="44A02F3A" w14:textId="77777777">
      <w:pPr>
        <w:pStyle w:val="Title3"/>
      </w:pPr>
      <w:r w:rsidRPr="00934B4C">
        <w:t>Addendum</w:t>
      </w:r>
    </w:p>
    <w:p w:rsidR="007141CF" w:rsidRPr="00934B4C" w:rsidP="00934B4C" w14:paraId="5040A46D" w14:textId="77777777">
      <w:r w:rsidRPr="00934B4C">
        <w:t xml:space="preserve">The following communication, received on </w:t>
      </w:r>
      <w:r w:rsidRPr="00934B4C">
        <w:t>17 December 2025</w:t>
      </w:r>
      <w:r w:rsidRPr="00934B4C">
        <w:t xml:space="preserve">, is being circulated at the request of the Delegation of </w:t>
      </w:r>
      <w:r w:rsidRPr="00934B4C">
        <w:rPr>
          <w:u w:val="single"/>
        </w:rPr>
        <w:t>Canada</w:t>
      </w:r>
      <w:r w:rsidRPr="00934B4C">
        <w:t>.</w:t>
      </w:r>
    </w:p>
    <w:p w:rsidR="00AD0FDA" w:rsidRPr="00934B4C" w:rsidP="00934B4C" w14:paraId="5AF0DA10" w14:textId="77777777"/>
    <w:p w:rsidR="00AD0FDA" w:rsidRPr="00934B4C" w:rsidP="00934B4C" w14:paraId="64EA8A4D" w14:textId="77777777">
      <w:pPr>
        <w:jc w:val="center"/>
        <w:rPr>
          <w:b/>
        </w:rPr>
      </w:pPr>
      <w:r w:rsidRPr="00934B4C">
        <w:rPr>
          <w:b/>
        </w:rPr>
        <w:t>_______________</w:t>
      </w:r>
    </w:p>
    <w:p w:rsidR="00AD0FDA" w:rsidRPr="00934B4C" w:rsidP="00934B4C" w14:paraId="14C89ACB" w14:textId="77777777"/>
    <w:p w:rsidR="00AD0FDA" w:rsidRPr="00934B4C" w:rsidP="00934B4C" w14:paraId="6EE72A05" w14:textId="77777777"/>
    <w:tbl>
      <w:tblPr>
        <w:tblW w:w="0" w:type="auto"/>
        <w:tblLayout w:type="fixed"/>
        <w:tblCellMar>
          <w:left w:w="0" w:type="dxa"/>
          <w:right w:w="115" w:type="dxa"/>
        </w:tblCellMar>
        <w:tblLook w:val="01E0"/>
      </w:tblPr>
      <w:tblGrid>
        <w:gridCol w:w="9242"/>
      </w:tblGrid>
      <w:tr w14:paraId="0C8A1184" w14:textId="77777777" w:rsidTr="00D0271D">
        <w:tblPrEx>
          <w:tblW w:w="0" w:type="auto"/>
          <w:tblLayout w:type="fixed"/>
          <w:tblLook w:val="01E0"/>
        </w:tblPrEx>
        <w:tc>
          <w:tcPr>
            <w:tcW w:w="9242" w:type="dxa"/>
          </w:tcPr>
          <w:p w:rsidR="00AD0FDA" w:rsidRPr="00934B4C" w:rsidP="00934B4C" w14:paraId="3543FE93" w14:textId="77777777">
            <w:pPr>
              <w:spacing w:after="240"/>
              <w:rPr>
                <w:u w:val="single"/>
              </w:rPr>
            </w:pPr>
            <w:r w:rsidRPr="00934B4C">
              <w:rPr>
                <w:u w:val="single"/>
              </w:rPr>
              <w:t>Exemption Order in Respect of Foods for a Special Dietary Purpose</w:t>
            </w:r>
          </w:p>
        </w:tc>
      </w:tr>
      <w:tr w14:paraId="6F5B710C" w14:textId="77777777" w:rsidTr="00D0271D">
        <w:tblPrEx>
          <w:tblW w:w="0" w:type="auto"/>
          <w:tblLayout w:type="fixed"/>
          <w:tblLook w:val="01E0"/>
        </w:tblPrEx>
        <w:tc>
          <w:tcPr>
            <w:tcW w:w="9242" w:type="dxa"/>
          </w:tcPr>
          <w:p w:rsidR="00AD0FDA" w:rsidRPr="00934B4C" w:rsidP="00934B4C" w14:paraId="27CEACB4" w14:textId="77777777">
            <w:pPr>
              <w:spacing w:after="240"/>
              <w:rPr>
                <w:u w:val="single"/>
              </w:rPr>
            </w:pPr>
            <w:r>
              <w:t xml:space="preserve">The proposed measure notified in G/SPS/N/CAN/1576/Add.1 (dated 3 July 2025) was adopted and published on 17 December, 2025, as the </w:t>
            </w:r>
            <w:r>
              <w:rPr>
                <w:i/>
                <w:iCs/>
              </w:rPr>
              <w:t>Exemption Order in Respect of Foods for a Special Dietary Purpose</w:t>
            </w:r>
            <w:r>
              <w:t xml:space="preserve"> (the Order). </w:t>
            </w:r>
          </w:p>
          <w:p w:rsidR="00765725" w:rsidP="009C75FF" w14:paraId="3EC42E43" w14:textId="77777777">
            <w:pPr>
              <w:spacing w:before="120"/>
            </w:pPr>
            <w:r>
              <w:t>This Order contains two parts:</w:t>
            </w:r>
          </w:p>
          <w:p w:rsidR="00765725" w:rsidP="009C75FF" w14:paraId="072F9503" w14:textId="77777777">
            <w:pPr>
              <w:numPr>
                <w:ilvl w:val="0"/>
                <w:numId w:val="16"/>
              </w:numPr>
              <w:ind w:left="357" w:hanging="357"/>
            </w:pPr>
            <w:r>
              <w:t xml:space="preserve">Part 1 enables the exceptional importation and/or sale of infant formula (IF), human milk fortifiers (HMF) and formulated liquid diets (FLD) in the case of a shortage or risk of shortage, by exempting foods that meet the class criteria from specified provisions of the </w:t>
            </w:r>
            <w:r>
              <w:rPr>
                <w:i/>
                <w:iCs/>
              </w:rPr>
              <w:t>Food and Drugs Act</w:t>
            </w:r>
            <w:r>
              <w:t xml:space="preserve"> (FDA) and </w:t>
            </w:r>
            <w:r>
              <w:rPr>
                <w:i/>
                <w:iCs/>
              </w:rPr>
              <w:t>Food and Drug Regulation</w:t>
            </w:r>
            <w:r>
              <w:t>s (FDR); and</w:t>
            </w:r>
          </w:p>
          <w:p w:rsidR="00765725" w:rsidP="009C75FF" w14:paraId="4774514E" w14:textId="77777777">
            <w:pPr>
              <w:numPr>
                <w:ilvl w:val="0"/>
                <w:numId w:val="16"/>
              </w:numPr>
              <w:ind w:left="357" w:hanging="357"/>
            </w:pPr>
            <w:r>
              <w:t>Part 2 permits the continued exceptional importation and sale of IFs and HMFs that are part of Health Canada's Transition Strategy (</w:t>
            </w:r>
            <w:hyperlink r:id="rId4" w:history="1">
              <w:r>
                <w:rPr>
                  <w:color w:val="0000FF"/>
                  <w:u w:val="single"/>
                </w:rPr>
                <w:t>https://www.canada.ca/en/health-canada/services/food-nutrition/public-involvement-partnerships/notice-stakeholders-transition-strategy-prepare-expiration-interim-policy-mitigate-infant-formula-shortages.html</w:t>
              </w:r>
            </w:hyperlink>
            <w:r>
              <w:t>) while the pre-market review for these foods is underway, by exempting them from specified provisions of the FDA and FDR.</w:t>
            </w:r>
          </w:p>
          <w:p w:rsidR="00765725" w:rsidP="009C75FF" w14:paraId="54600689" w14:textId="77777777">
            <w:pPr>
              <w:spacing w:before="120" w:after="120"/>
            </w:pPr>
            <w:r>
              <w:t>To ensure that the Order's exemptions do not introduce unacceptable health and safety risks, specific conditions relating to the food's label, notifications to the Minister of Health and restrictions on the sale of HMFs are imposed.</w:t>
            </w:r>
          </w:p>
          <w:p w:rsidR="00765725" w:rsidP="009C75FF" w14:paraId="089FA3CC" w14:textId="4F768596">
            <w:pPr>
              <w:spacing w:before="120" w:after="240"/>
            </w:pPr>
            <w:r>
              <w:t>The Order came into force on 17 December</w:t>
            </w:r>
            <w:r>
              <w:t xml:space="preserve"> 2025, the day on which it was published in </w:t>
            </w:r>
            <w:r>
              <w:rPr>
                <w:i/>
                <w:iCs/>
              </w:rPr>
              <w:t>Canada Gazette</w:t>
            </w:r>
            <w:r>
              <w:t>, Part II.</w:t>
            </w:r>
          </w:p>
        </w:tc>
      </w:tr>
      <w:tr w14:paraId="5EA485D8" w14:textId="77777777" w:rsidTr="00D0271D">
        <w:tblPrEx>
          <w:tblW w:w="0" w:type="auto"/>
          <w:tblLayout w:type="fixed"/>
          <w:tblLook w:val="01E0"/>
        </w:tblPrEx>
        <w:tc>
          <w:tcPr>
            <w:tcW w:w="9242" w:type="dxa"/>
          </w:tcPr>
          <w:p w:rsidR="00AD0FDA" w:rsidRPr="00934B4C" w:rsidP="00934B4C" w14:paraId="220CC313" w14:textId="77777777">
            <w:pPr>
              <w:spacing w:after="240"/>
              <w:rPr>
                <w:b/>
              </w:rPr>
            </w:pPr>
            <w:r w:rsidRPr="00934B4C">
              <w:rPr>
                <w:b/>
              </w:rPr>
              <w:t>This addendum concerns a:</w:t>
            </w:r>
          </w:p>
        </w:tc>
      </w:tr>
      <w:tr w14:paraId="332A76BD" w14:textId="77777777" w:rsidTr="00D0271D">
        <w:tblPrEx>
          <w:tblW w:w="0" w:type="auto"/>
          <w:tblLayout w:type="fixed"/>
          <w:tblLook w:val="01E0"/>
        </w:tblPrEx>
        <w:tc>
          <w:tcPr>
            <w:tcW w:w="9242" w:type="dxa"/>
          </w:tcPr>
          <w:p w:rsidR="00AD0FDA" w:rsidRPr="00934B4C" w:rsidP="00934B4C" w14:paraId="68AF966B"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62875A1" w14:textId="77777777" w:rsidTr="00D0271D">
        <w:tblPrEx>
          <w:tblW w:w="0" w:type="auto"/>
          <w:tblLayout w:type="fixed"/>
          <w:tblLook w:val="01E0"/>
        </w:tblPrEx>
        <w:tc>
          <w:tcPr>
            <w:tcW w:w="9242" w:type="dxa"/>
          </w:tcPr>
          <w:p w:rsidR="00AD0FDA" w:rsidRPr="00934B4C" w:rsidP="00934B4C" w14:paraId="7F1A11C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150B3A4" w14:textId="77777777" w:rsidTr="00D0271D">
        <w:tblPrEx>
          <w:tblW w:w="0" w:type="auto"/>
          <w:tblLayout w:type="fixed"/>
          <w:tblLook w:val="01E0"/>
        </w:tblPrEx>
        <w:tc>
          <w:tcPr>
            <w:tcW w:w="9242" w:type="dxa"/>
          </w:tcPr>
          <w:p w:rsidR="00AD0FDA" w:rsidRPr="00934B4C" w:rsidP="00934B4C" w14:paraId="79356AD7" w14:textId="77777777">
            <w:pPr>
              <w:ind w:left="1440" w:hanging="873"/>
            </w:pPr>
            <w:r w:rsidRPr="00934B4C">
              <w:t>[ ]</w:t>
            </w:r>
            <w:r w:rsidRPr="00934B4C">
              <w:tab/>
              <w:t>Modification of content and/or scope of previously notified draft regulation</w:t>
            </w:r>
          </w:p>
        </w:tc>
      </w:tr>
      <w:tr w14:paraId="3D3F1760" w14:textId="77777777" w:rsidTr="00D0271D">
        <w:tblPrEx>
          <w:tblW w:w="0" w:type="auto"/>
          <w:tblLayout w:type="fixed"/>
          <w:tblLook w:val="01E0"/>
        </w:tblPrEx>
        <w:tc>
          <w:tcPr>
            <w:tcW w:w="9242" w:type="dxa"/>
          </w:tcPr>
          <w:p w:rsidR="00AD0FDA" w:rsidRPr="00934B4C" w:rsidP="00934B4C" w14:paraId="60086607" w14:textId="77777777">
            <w:pPr>
              <w:ind w:left="1440" w:hanging="873"/>
            </w:pPr>
            <w:r w:rsidRPr="00934B4C">
              <w:t>[ ]</w:t>
            </w:r>
            <w:r w:rsidRPr="00934B4C">
              <w:tab/>
              <w:t>Withdrawal of proposed regulation</w:t>
            </w:r>
          </w:p>
        </w:tc>
      </w:tr>
      <w:tr w14:paraId="503FF2C2" w14:textId="77777777" w:rsidTr="00D0271D">
        <w:tblPrEx>
          <w:tblW w:w="0" w:type="auto"/>
          <w:tblLayout w:type="fixed"/>
          <w:tblLook w:val="01E0"/>
        </w:tblPrEx>
        <w:tc>
          <w:tcPr>
            <w:tcW w:w="9242" w:type="dxa"/>
          </w:tcPr>
          <w:p w:rsidR="00AD0FDA" w:rsidRPr="00934B4C" w:rsidP="00934B4C" w14:paraId="387088E1" w14:textId="77777777">
            <w:pPr>
              <w:ind w:left="1440" w:hanging="873"/>
            </w:pPr>
            <w:r w:rsidRPr="00934B4C">
              <w:t>[ ]</w:t>
            </w:r>
            <w:r w:rsidRPr="00934B4C">
              <w:tab/>
              <w:t>Change in proposed date of adoption, publication or date of entry into force</w:t>
            </w:r>
          </w:p>
        </w:tc>
      </w:tr>
      <w:tr w14:paraId="79B62206" w14:textId="77777777" w:rsidTr="00D0271D">
        <w:tblPrEx>
          <w:tblW w:w="0" w:type="auto"/>
          <w:tblLayout w:type="fixed"/>
          <w:tblLook w:val="01E0"/>
        </w:tblPrEx>
        <w:tc>
          <w:tcPr>
            <w:tcW w:w="9242" w:type="dxa"/>
          </w:tcPr>
          <w:p w:rsidR="00AD0FDA" w:rsidRPr="00934B4C" w:rsidP="00934B4C" w14:paraId="4050E035" w14:textId="77777777">
            <w:pPr>
              <w:spacing w:after="240"/>
              <w:ind w:left="1440" w:hanging="873"/>
            </w:pPr>
            <w:r w:rsidRPr="00934B4C">
              <w:t>[ ]</w:t>
            </w:r>
            <w:r w:rsidRPr="00934B4C">
              <w:tab/>
              <w:t xml:space="preserve">Other: </w:t>
            </w:r>
          </w:p>
        </w:tc>
      </w:tr>
      <w:tr w14:paraId="634D0E05" w14:textId="77777777" w:rsidTr="00D0271D">
        <w:tblPrEx>
          <w:tblW w:w="0" w:type="auto"/>
          <w:tblLayout w:type="fixed"/>
          <w:tblLook w:val="01E0"/>
        </w:tblPrEx>
        <w:tc>
          <w:tcPr>
            <w:tcW w:w="9242" w:type="dxa"/>
          </w:tcPr>
          <w:p w:rsidR="00AD0FDA" w:rsidRPr="00934B4C" w:rsidP="00934B4C" w14:paraId="5B44390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4A4C389" w14:textId="77777777" w:rsidTr="00D0271D">
        <w:tblPrEx>
          <w:tblW w:w="0" w:type="auto"/>
          <w:tblLayout w:type="fixed"/>
          <w:tblLook w:val="01E0"/>
        </w:tblPrEx>
        <w:tc>
          <w:tcPr>
            <w:tcW w:w="9242" w:type="dxa"/>
          </w:tcPr>
          <w:p w:rsidR="00AD0FDA" w:rsidRPr="00934B4C" w:rsidP="00934B4C" w14:paraId="1E1FCA68"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EEAC244" w14:textId="77777777" w:rsidTr="00D0271D">
        <w:tblPrEx>
          <w:tblW w:w="0" w:type="auto"/>
          <w:tblLayout w:type="fixed"/>
          <w:tblLook w:val="01E0"/>
        </w:tblPrEx>
        <w:tc>
          <w:tcPr>
            <w:tcW w:w="9242" w:type="dxa"/>
          </w:tcPr>
          <w:p w:rsidR="00AD0FDA" w:rsidRPr="00934B4C" w:rsidP="00934B4C" w14:paraId="7FEE2ABE"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87F2116" w14:textId="77777777" w:rsidTr="00D0271D">
        <w:tblPrEx>
          <w:tblW w:w="0" w:type="auto"/>
          <w:tblLayout w:type="fixed"/>
          <w:tblLook w:val="01E0"/>
        </w:tblPrEx>
        <w:tc>
          <w:tcPr>
            <w:tcW w:w="9242" w:type="dxa"/>
          </w:tcPr>
          <w:p w:rsidR="00AD0FDA" w:rsidRPr="00934B4C" w:rsidP="00934B4C" w14:paraId="3F2BA5A9" w14:textId="77777777">
            <w:pPr>
              <w:spacing w:after="240"/>
            </w:pPr>
          </w:p>
        </w:tc>
      </w:tr>
      <w:tr w14:paraId="742D4DD3" w14:textId="77777777" w:rsidTr="00D0271D">
        <w:tblPrEx>
          <w:tblW w:w="0" w:type="auto"/>
          <w:tblLayout w:type="fixed"/>
          <w:tblLook w:val="01E0"/>
        </w:tblPrEx>
        <w:tc>
          <w:tcPr>
            <w:tcW w:w="9242" w:type="dxa"/>
          </w:tcPr>
          <w:p w:rsidR="00AD0FDA" w:rsidRPr="00934B4C" w:rsidP="00934B4C" w14:paraId="1024F08F"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63BC95DB" w14:textId="77777777" w:rsidTr="00D0271D">
        <w:tblPrEx>
          <w:tblW w:w="0" w:type="auto"/>
          <w:tblLayout w:type="fixed"/>
          <w:tblLook w:val="01E0"/>
        </w:tblPrEx>
        <w:tc>
          <w:tcPr>
            <w:tcW w:w="9242" w:type="dxa"/>
          </w:tcPr>
          <w:p w:rsidR="00AD0FDA" w:rsidRPr="00934B4C" w:rsidP="00934B4C" w14:paraId="090F9A7B" w14:textId="77777777">
            <w:r w:rsidRPr="00934B4C">
              <w:t>The electronic versions are available at:</w:t>
            </w:r>
          </w:p>
          <w:p w:rsidR="00AD0FDA" w:rsidRPr="00934B4C" w:rsidP="00934B4C" w14:paraId="36A619DB" w14:textId="77777777">
            <w:hyperlink r:id="rId5" w:history="1">
              <w:r w:rsidRPr="00934B4C">
                <w:rPr>
                  <w:color w:val="0000FF"/>
                  <w:u w:val="single"/>
                </w:rPr>
                <w:t>https://gazette.gc.ca/rp-pr/p2/2025/2025-12-17/html/sor-dors248-eng.html</w:t>
              </w:r>
            </w:hyperlink>
            <w:r w:rsidRPr="00934B4C" w:rsidR="009C75FF">
              <w:t xml:space="preserve"> (English)</w:t>
            </w:r>
          </w:p>
          <w:p w:rsidR="00AD0FDA" w:rsidRPr="00934B4C" w:rsidP="009C75FF" w14:paraId="1D3AB0BD" w14:textId="77777777">
            <w:pPr>
              <w:spacing w:after="120"/>
            </w:pPr>
            <w:hyperlink r:id="rId6" w:history="1">
              <w:r w:rsidRPr="00934B4C">
                <w:rPr>
                  <w:color w:val="0000FF"/>
                  <w:u w:val="single"/>
                </w:rPr>
                <w:t>https://gazette.gc.ca/rp-pr/p2/2025/2025-12-17/html/sor-dors248-fra.html</w:t>
              </w:r>
            </w:hyperlink>
            <w:r w:rsidRPr="00934B4C" w:rsidR="009C75FF">
              <w:t xml:space="preserve"> (French)</w:t>
            </w:r>
          </w:p>
          <w:p w:rsidR="00AD0FDA" w:rsidRPr="00934B4C" w:rsidP="00934B4C" w14:paraId="6F9B15C1" w14:textId="77777777">
            <w:r w:rsidRPr="00934B4C">
              <w:t>or requested from:</w:t>
            </w:r>
          </w:p>
          <w:p w:rsidR="00AD0FDA" w:rsidRPr="00934B4C" w:rsidP="00934B4C" w14:paraId="2B9E77D0" w14:textId="77777777">
            <w:r w:rsidRPr="00934B4C">
              <w:t>Canada's Notification Authority and Enquiry Point</w:t>
            </w:r>
          </w:p>
          <w:p w:rsidR="00AD0FDA" w:rsidRPr="00934B4C" w:rsidP="00934B4C" w14:paraId="79673336" w14:textId="77777777">
            <w:r w:rsidRPr="00934B4C">
              <w:t>Technical Barriers and Regulations Division</w:t>
            </w:r>
          </w:p>
          <w:p w:rsidR="00AD0FDA" w:rsidRPr="00934B4C" w:rsidP="00934B4C" w14:paraId="072497DB" w14:textId="77777777">
            <w:r w:rsidRPr="00934B4C">
              <w:t>Global Affairs Canada</w:t>
            </w:r>
          </w:p>
          <w:p w:rsidR="00AD0FDA" w:rsidRPr="00934B4C" w:rsidP="00934B4C" w14:paraId="21E25C24" w14:textId="77777777">
            <w:r w:rsidRPr="00934B4C">
              <w:t>111 Sussex Drive</w:t>
            </w:r>
          </w:p>
          <w:p w:rsidR="00AD0FDA" w:rsidRPr="00934B4C" w:rsidP="00934B4C" w14:paraId="03F591AC" w14:textId="77777777">
            <w:r w:rsidRPr="00934B4C">
              <w:t>Ottawa, Ontario K1A 0G2</w:t>
            </w:r>
          </w:p>
          <w:p w:rsidR="00AD0FDA" w:rsidRPr="009C75FF" w:rsidP="00934B4C" w14:paraId="7EE2169F" w14:textId="77777777">
            <w:pPr>
              <w:rPr>
                <w:lang w:val="es-ES_tradnl"/>
              </w:rPr>
            </w:pPr>
            <w:r w:rsidRPr="009C75FF">
              <w:rPr>
                <w:lang w:val="es-ES_tradnl"/>
              </w:rPr>
              <w:t>Canada</w:t>
            </w:r>
          </w:p>
          <w:p w:rsidR="00AD0FDA" w:rsidRPr="009C75FF" w:rsidP="00934B4C" w14:paraId="428AD93B" w14:textId="77777777">
            <w:pPr>
              <w:rPr>
                <w:lang w:val="es-ES_tradnl"/>
              </w:rPr>
            </w:pPr>
            <w:r w:rsidRPr="009C75FF">
              <w:rPr>
                <w:lang w:val="es-ES_tradnl"/>
              </w:rPr>
              <w:t xml:space="preserve">E-mail: </w:t>
            </w:r>
            <w:hyperlink r:id="rId7" w:history="1">
              <w:r w:rsidRPr="009C75FF">
                <w:rPr>
                  <w:color w:val="0000FF"/>
                  <w:u w:val="single"/>
                  <w:lang w:val="es-ES_tradnl"/>
                </w:rPr>
                <w:t>enquirypoint@international.gc.ca</w:t>
              </w:r>
            </w:hyperlink>
          </w:p>
        </w:tc>
      </w:tr>
    </w:tbl>
    <w:p w:rsidR="00AD0FDA" w:rsidRPr="009C75FF" w:rsidP="00934B4C" w14:paraId="54CDE233" w14:textId="77777777">
      <w:pPr>
        <w:rPr>
          <w:lang w:val="es-ES_tradnl"/>
        </w:rPr>
      </w:pPr>
    </w:p>
    <w:p w:rsidR="00AD0FDA" w:rsidRPr="00934B4C" w:rsidP="00934B4C" w14:paraId="796BB117" w14:textId="77777777">
      <w:pPr>
        <w:jc w:val="center"/>
        <w:rPr>
          <w:b/>
        </w:rPr>
      </w:pPr>
      <w:r w:rsidRPr="00934B4C">
        <w:rPr>
          <w:b/>
        </w:rPr>
        <w:t>__________</w:t>
      </w:r>
    </w:p>
    <w:sectPr w:rsidSect="009C75F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C75FF" w:rsidP="009C75FF" w14:paraId="02E3F1C0" w14:textId="63E55D0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9C75FF" w:rsidP="009C75FF" w14:paraId="7F5AA139" w14:textId="08BBBF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B4105C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75FF" w:rsidRPr="009C75FF" w:rsidP="009C75FF" w14:paraId="0CDAB49F" w14:textId="77777777">
    <w:pPr>
      <w:pStyle w:val="Header"/>
      <w:pBdr>
        <w:bottom w:val="single" w:sz="4" w:space="1" w:color="auto"/>
      </w:pBdr>
      <w:tabs>
        <w:tab w:val="clear" w:pos="4513"/>
        <w:tab w:val="clear" w:pos="9027"/>
      </w:tabs>
      <w:jc w:val="center"/>
    </w:pPr>
    <w:r w:rsidRPr="009C75FF">
      <w:t>G/SPS/N/CAN/1576/Add.2</w:t>
    </w:r>
  </w:p>
  <w:p w:rsidR="009C75FF" w:rsidRPr="009C75FF" w:rsidP="009C75FF" w14:paraId="3DFA9517" w14:textId="77777777">
    <w:pPr>
      <w:pStyle w:val="Header"/>
      <w:pBdr>
        <w:bottom w:val="single" w:sz="4" w:space="1" w:color="auto"/>
      </w:pBdr>
      <w:tabs>
        <w:tab w:val="clear" w:pos="4513"/>
        <w:tab w:val="clear" w:pos="9027"/>
      </w:tabs>
      <w:jc w:val="center"/>
    </w:pPr>
  </w:p>
  <w:p w:rsidR="009C75FF" w:rsidRPr="009C75FF" w:rsidP="009C75FF" w14:paraId="50511A86" w14:textId="3D4FEB17">
    <w:pPr>
      <w:pStyle w:val="Header"/>
      <w:pBdr>
        <w:bottom w:val="single" w:sz="4" w:space="1" w:color="auto"/>
      </w:pBdr>
      <w:tabs>
        <w:tab w:val="clear" w:pos="4513"/>
        <w:tab w:val="clear" w:pos="9027"/>
      </w:tabs>
      <w:jc w:val="center"/>
    </w:pPr>
    <w:r w:rsidRPr="009C75FF">
      <w:t xml:space="preserve">- </w:t>
    </w:r>
    <w:r w:rsidRPr="009C75FF">
      <w:fldChar w:fldCharType="begin"/>
    </w:r>
    <w:r w:rsidRPr="009C75FF">
      <w:instrText xml:space="preserve"> PAGE </w:instrText>
    </w:r>
    <w:r w:rsidRPr="009C75FF">
      <w:fldChar w:fldCharType="separate"/>
    </w:r>
    <w:r w:rsidRPr="009C75FF">
      <w:t>2</w:t>
    </w:r>
    <w:r w:rsidRPr="009C75FF">
      <w:fldChar w:fldCharType="end"/>
    </w:r>
    <w:r w:rsidRPr="009C75FF">
      <w:t xml:space="preserve"> -</w:t>
    </w:r>
  </w:p>
  <w:p w:rsidR="00AD0FDA" w:rsidRPr="009C75FF" w:rsidP="009C75FF" w14:paraId="616F7C25" w14:textId="14D5274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75FF" w:rsidRPr="009C75FF" w:rsidP="009C75FF" w14:paraId="5A46E5B4" w14:textId="77777777">
    <w:pPr>
      <w:pStyle w:val="Header"/>
      <w:pBdr>
        <w:bottom w:val="single" w:sz="4" w:space="1" w:color="auto"/>
      </w:pBdr>
      <w:tabs>
        <w:tab w:val="clear" w:pos="4513"/>
        <w:tab w:val="clear" w:pos="9027"/>
      </w:tabs>
      <w:jc w:val="center"/>
    </w:pPr>
    <w:r w:rsidRPr="009C75FF">
      <w:t>G/SPS/N/CAN/1576/Add.2</w:t>
    </w:r>
  </w:p>
  <w:p w:rsidR="009C75FF" w:rsidRPr="009C75FF" w:rsidP="009C75FF" w14:paraId="75B3FBF0" w14:textId="77777777">
    <w:pPr>
      <w:pStyle w:val="Header"/>
      <w:pBdr>
        <w:bottom w:val="single" w:sz="4" w:space="1" w:color="auto"/>
      </w:pBdr>
      <w:tabs>
        <w:tab w:val="clear" w:pos="4513"/>
        <w:tab w:val="clear" w:pos="9027"/>
      </w:tabs>
      <w:jc w:val="center"/>
    </w:pPr>
  </w:p>
  <w:p w:rsidR="009C75FF" w:rsidRPr="009C75FF" w:rsidP="009C75FF" w14:paraId="2E40813F" w14:textId="6CE704E7">
    <w:pPr>
      <w:pStyle w:val="Header"/>
      <w:pBdr>
        <w:bottom w:val="single" w:sz="4" w:space="1" w:color="auto"/>
      </w:pBdr>
      <w:tabs>
        <w:tab w:val="clear" w:pos="4513"/>
        <w:tab w:val="clear" w:pos="9027"/>
      </w:tabs>
      <w:jc w:val="center"/>
    </w:pPr>
    <w:r w:rsidRPr="009C75FF">
      <w:t xml:space="preserve">- </w:t>
    </w:r>
    <w:r w:rsidRPr="009C75FF">
      <w:fldChar w:fldCharType="begin"/>
    </w:r>
    <w:r w:rsidRPr="009C75FF">
      <w:instrText xml:space="preserve"> PAGE </w:instrText>
    </w:r>
    <w:r w:rsidRPr="009C75FF">
      <w:fldChar w:fldCharType="separate"/>
    </w:r>
    <w:r w:rsidRPr="009C75FF">
      <w:rPr>
        <w:noProof/>
      </w:rPr>
      <w:t>2</w:t>
    </w:r>
    <w:r w:rsidRPr="009C75FF">
      <w:fldChar w:fldCharType="end"/>
    </w:r>
    <w:r w:rsidRPr="009C75FF">
      <w:t xml:space="preserve"> -</w:t>
    </w:r>
  </w:p>
  <w:p w:rsidR="00AD0FDA" w:rsidRPr="009C75FF" w:rsidP="009C75FF" w14:paraId="17141C7E" w14:textId="712EDF7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4C95D1"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8C99B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957F486" w14:textId="283879AD">
          <w:pPr>
            <w:jc w:val="right"/>
            <w:rPr>
              <w:b/>
              <w:color w:val="FF0000"/>
              <w:szCs w:val="16"/>
            </w:rPr>
          </w:pPr>
          <w:r>
            <w:rPr>
              <w:b/>
              <w:color w:val="FF0000"/>
              <w:szCs w:val="16"/>
            </w:rPr>
            <w:t xml:space="preserve"> </w:t>
          </w:r>
        </w:p>
      </w:tc>
    </w:tr>
    <w:bookmarkEnd w:id="0"/>
    <w:tr w14:paraId="50E0C93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B1C444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674FB7E" w14:textId="77777777">
          <w:pPr>
            <w:jc w:val="right"/>
            <w:rPr>
              <w:b/>
              <w:szCs w:val="16"/>
            </w:rPr>
          </w:pPr>
        </w:p>
      </w:tc>
    </w:tr>
    <w:tr w14:paraId="1E4FBE3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A935463" w14:textId="77777777">
          <w:pPr>
            <w:jc w:val="left"/>
            <w:rPr>
              <w:noProof/>
              <w:lang w:eastAsia="en-GB"/>
            </w:rPr>
          </w:pPr>
        </w:p>
      </w:tc>
      <w:tc>
        <w:tcPr>
          <w:tcW w:w="5448" w:type="dxa"/>
          <w:gridSpan w:val="2"/>
          <w:shd w:val="clear" w:color="auto" w:fill="FFFFFF"/>
          <w:tcMar>
            <w:left w:w="108" w:type="dxa"/>
            <w:right w:w="108" w:type="dxa"/>
          </w:tcMar>
        </w:tcPr>
        <w:p w:rsidR="009C75FF" w:rsidP="0081481D" w14:paraId="4A22F474" w14:textId="77777777">
          <w:pPr>
            <w:jc w:val="right"/>
            <w:rPr>
              <w:b/>
              <w:szCs w:val="16"/>
            </w:rPr>
          </w:pPr>
          <w:bookmarkStart w:id="1" w:name="bmkSymbols"/>
          <w:r>
            <w:rPr>
              <w:b/>
              <w:szCs w:val="16"/>
            </w:rPr>
            <w:t>G/SPS/N/CAN/1576/Add.2</w:t>
          </w:r>
        </w:p>
        <w:bookmarkEnd w:id="1"/>
        <w:p w:rsidR="00AD0FDA" w:rsidRPr="00934B4C" w:rsidP="0081481D" w14:paraId="61192FE8" w14:textId="638D9892">
          <w:pPr>
            <w:jc w:val="right"/>
            <w:rPr>
              <w:b/>
              <w:szCs w:val="16"/>
            </w:rPr>
          </w:pPr>
        </w:p>
      </w:tc>
    </w:tr>
    <w:tr w14:paraId="61D3BCB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441CD4C" w14:textId="77777777"/>
      </w:tc>
      <w:tc>
        <w:tcPr>
          <w:tcW w:w="5448" w:type="dxa"/>
          <w:gridSpan w:val="2"/>
          <w:shd w:val="clear" w:color="auto" w:fill="FFFFFF"/>
          <w:tcMar>
            <w:left w:w="108" w:type="dxa"/>
            <w:right w:w="108" w:type="dxa"/>
          </w:tcMar>
          <w:vAlign w:val="center"/>
        </w:tcPr>
        <w:p w:rsidR="00ED54E0" w:rsidRPr="00AD0FDA" w:rsidP="0081481D" w14:paraId="1B6DE415" w14:textId="77777777">
          <w:pPr>
            <w:jc w:val="right"/>
            <w:rPr>
              <w:szCs w:val="16"/>
            </w:rPr>
          </w:pPr>
          <w:bookmarkStart w:id="2" w:name="bmkDate"/>
          <w:bookmarkStart w:id="3" w:name="spsDateDistribution"/>
          <w:r w:rsidRPr="00AD0FDA">
            <w:rPr>
              <w:szCs w:val="16"/>
            </w:rPr>
            <w:t>18 December 2025</w:t>
          </w:r>
          <w:bookmarkEnd w:id="2"/>
          <w:bookmarkEnd w:id="3"/>
        </w:p>
      </w:tc>
    </w:tr>
    <w:tr w14:paraId="3DCEDF4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2FA9B95" w14:textId="77777777">
          <w:pPr>
            <w:jc w:val="left"/>
            <w:rPr>
              <w:b/>
            </w:rPr>
          </w:pPr>
          <w:bookmarkStart w:id="4" w:name="bmkSerial"/>
          <w:r>
            <w:rPr>
              <w:rFonts w:ascii="Verdana" w:eastAsia="Verdana" w:hAnsi="Verdana" w:cs="Verdana"/>
              <w:b w:val="0"/>
              <w:color w:val="FF0000"/>
              <w:sz w:val="18"/>
            </w:rPr>
            <w:t>(25-8637)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332F6F5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A08000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4597B7E" w14:textId="6A37CC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7E3678B" w14:textId="036D9A2C">
          <w:pPr>
            <w:jc w:val="right"/>
            <w:rPr>
              <w:bCs/>
              <w:szCs w:val="18"/>
            </w:rPr>
          </w:pPr>
          <w:bookmarkStart w:id="7" w:name="bmkLanguage"/>
          <w:r>
            <w:rPr>
              <w:bCs/>
              <w:szCs w:val="18"/>
            </w:rPr>
            <w:t>Original: English/French</w:t>
          </w:r>
          <w:bookmarkEnd w:id="7"/>
        </w:p>
      </w:tc>
    </w:tr>
  </w:tbl>
  <w:p w:rsidR="00ED54E0" w:rsidRPr="00934B4C" w14:paraId="0FF535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06549968">
    <w:abstractNumId w:val="9"/>
  </w:num>
  <w:num w:numId="2" w16cid:durableId="1036933608">
    <w:abstractNumId w:val="7"/>
  </w:num>
  <w:num w:numId="3" w16cid:durableId="53550826">
    <w:abstractNumId w:val="6"/>
  </w:num>
  <w:num w:numId="4" w16cid:durableId="1223637259">
    <w:abstractNumId w:val="5"/>
  </w:num>
  <w:num w:numId="5" w16cid:durableId="1653682009">
    <w:abstractNumId w:val="4"/>
  </w:num>
  <w:num w:numId="6" w16cid:durableId="377052391">
    <w:abstractNumId w:val="12"/>
  </w:num>
  <w:num w:numId="7" w16cid:durableId="1574243884">
    <w:abstractNumId w:val="11"/>
  </w:num>
  <w:num w:numId="8" w16cid:durableId="275454932">
    <w:abstractNumId w:val="10"/>
  </w:num>
  <w:num w:numId="9" w16cid:durableId="7441893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8271162">
    <w:abstractNumId w:val="13"/>
  </w:num>
  <w:num w:numId="11" w16cid:durableId="569195662">
    <w:abstractNumId w:val="8"/>
  </w:num>
  <w:num w:numId="12" w16cid:durableId="64765445">
    <w:abstractNumId w:val="3"/>
  </w:num>
  <w:num w:numId="13" w16cid:durableId="1779182229">
    <w:abstractNumId w:val="2"/>
  </w:num>
  <w:num w:numId="14" w16cid:durableId="1698655054">
    <w:abstractNumId w:val="1"/>
  </w:num>
  <w:num w:numId="15" w16cid:durableId="1294750047">
    <w:abstractNumId w:val="0"/>
  </w:num>
  <w:num w:numId="16" w16cid:durableId="263759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A3BAD"/>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C75FF"/>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4A33"/>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81BCAFA"/>
  <w15:docId w15:val="{B75C4224-5D8F-441E-9950-CE3BE4C5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en/health-canada/services/food-nutrition/public-involvement-partnerships/notice-stakeholders-transition-strategy-prepare-expiration-interim-policy-mitigate-infant-formula-shortages.html" TargetMode="External" /><Relationship Id="rId5" Type="http://schemas.openxmlformats.org/officeDocument/2006/relationships/hyperlink" Target="https://gazette.gc.ca/rp-pr/p2/2025/2025-12-17/html/sor-dors248-eng.html" TargetMode="External" /><Relationship Id="rId6" Type="http://schemas.openxmlformats.org/officeDocument/2006/relationships/hyperlink" Target="https://gazette.gc.ca/rp-pr/p2/2025/2025-12-17/html/sor-dors248-fra.html" TargetMode="External" /><Relationship Id="rId7" Type="http://schemas.openxmlformats.org/officeDocument/2006/relationships/hyperlink" Target="mailto:enquirypoint@international.gc.c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2025-12-18T10:55:00Z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G/SPS/N/CAN/1576/Add.2</vt:lpwstr>
  </property>
</Properties>
</file>