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74424595" w14:textId="77777777">
      <w:pPr>
        <w:pStyle w:val="Title"/>
        <w:rPr>
          <w:caps w:val="0"/>
          <w:kern w:val="0"/>
        </w:rPr>
      </w:pPr>
      <w:r w:rsidRPr="00934B4C">
        <w:rPr>
          <w:caps w:val="0"/>
          <w:kern w:val="0"/>
        </w:rPr>
        <w:t>NOTIFICATION</w:t>
      </w:r>
    </w:p>
    <w:p w:rsidR="00AD0FDA" w:rsidRPr="00934B4C" w:rsidP="00934B4C" w14:paraId="2D745D51" w14:textId="77777777">
      <w:pPr>
        <w:pStyle w:val="Title3"/>
      </w:pPr>
      <w:r w:rsidRPr="00934B4C">
        <w:t>Addendum</w:t>
      </w:r>
    </w:p>
    <w:p w:rsidR="007141CF" w:rsidRPr="00934B4C" w:rsidP="00934B4C" w14:paraId="642CAD63" w14:textId="77777777">
      <w:r w:rsidRPr="00934B4C">
        <w:t xml:space="preserve">The following communication, received on 28 November 2025, is being circulated at the request of the Delegation of </w:t>
      </w:r>
      <w:r w:rsidRPr="00934B4C">
        <w:rPr>
          <w:u w:val="single"/>
        </w:rPr>
        <w:t>Canada</w:t>
      </w:r>
      <w:r w:rsidRPr="00934B4C">
        <w:t>.</w:t>
      </w:r>
    </w:p>
    <w:p w:rsidR="00AD0FDA" w:rsidRPr="00934B4C" w:rsidP="00934B4C" w14:paraId="21049B50" w14:textId="77777777"/>
    <w:p w:rsidR="00AD0FDA" w:rsidRPr="00934B4C" w:rsidP="00934B4C" w14:paraId="48C71890" w14:textId="77777777">
      <w:pPr>
        <w:jc w:val="center"/>
        <w:rPr>
          <w:b/>
        </w:rPr>
      </w:pPr>
      <w:r w:rsidRPr="00934B4C">
        <w:rPr>
          <w:b/>
        </w:rPr>
        <w:t>_______________</w:t>
      </w:r>
    </w:p>
    <w:p w:rsidR="00AD0FDA" w:rsidRPr="00934B4C" w:rsidP="00934B4C" w14:paraId="1906379D" w14:textId="77777777"/>
    <w:p w:rsidR="00AD0FDA" w:rsidRPr="00934B4C" w:rsidP="00934B4C" w14:paraId="1E9039B6" w14:textId="77777777"/>
    <w:tbl>
      <w:tblPr>
        <w:tblW w:w="0" w:type="auto"/>
        <w:tblLayout w:type="fixed"/>
        <w:tblCellMar>
          <w:left w:w="0" w:type="dxa"/>
          <w:right w:w="115" w:type="dxa"/>
        </w:tblCellMar>
        <w:tblLook w:val="01E0"/>
      </w:tblPr>
      <w:tblGrid>
        <w:gridCol w:w="9242"/>
      </w:tblGrid>
      <w:tr w14:paraId="67B4719B" w14:textId="77777777" w:rsidTr="00D0271D">
        <w:tblPrEx>
          <w:tblW w:w="0" w:type="auto"/>
          <w:tblLayout w:type="fixed"/>
          <w:tblLook w:val="01E0"/>
        </w:tblPrEx>
        <w:tc>
          <w:tcPr>
            <w:tcW w:w="9242" w:type="dxa"/>
          </w:tcPr>
          <w:p w:rsidR="00AD0FDA" w:rsidRPr="00934B4C" w:rsidP="00934B4C" w14:paraId="1E02AD06" w14:textId="77777777">
            <w:pPr>
              <w:spacing w:after="240"/>
              <w:rPr>
                <w:u w:val="single"/>
              </w:rPr>
            </w:pPr>
            <w:r w:rsidRPr="00934B4C">
              <w:rPr>
                <w:u w:val="single"/>
              </w:rPr>
              <w:t>Modification to the List of Permitted Supplemental Ingredients to extend the use of caffeine</w:t>
            </w:r>
          </w:p>
        </w:tc>
      </w:tr>
      <w:tr w14:paraId="70FBBAAF" w14:textId="77777777" w:rsidTr="00D0271D">
        <w:tblPrEx>
          <w:tblW w:w="0" w:type="auto"/>
          <w:tblLayout w:type="fixed"/>
          <w:tblLook w:val="01E0"/>
        </w:tblPrEx>
        <w:tc>
          <w:tcPr>
            <w:tcW w:w="9242" w:type="dxa"/>
          </w:tcPr>
          <w:p w:rsidR="00AD0FDA" w:rsidRPr="00934B4C" w:rsidP="00934B4C" w14:paraId="10772A84" w14:textId="3D3F1B45">
            <w:pPr>
              <w:spacing w:after="240"/>
              <w:rPr>
                <w:u w:val="single"/>
              </w:rPr>
            </w:pPr>
            <w:r>
              <w:t xml:space="preserve">Health Canada's Food and Nutrition Directorate has modified the </w:t>
            </w:r>
            <w:r>
              <w:rPr>
                <w:i/>
                <w:iCs/>
              </w:rPr>
              <w:t>List of Permitted Supplemental Ingredients</w:t>
            </w:r>
            <w:r>
              <w:t xml:space="preserve"> to authorize the use of caffeine as a supplemental ingredient in foods listed in item 6 of the </w:t>
            </w:r>
            <w:r>
              <w:rPr>
                <w:i/>
                <w:iCs/>
              </w:rPr>
              <w:t>List of Permitted Supplemented Food Categories</w:t>
            </w:r>
            <w:r>
              <w:t xml:space="preserve"> (</w:t>
            </w:r>
            <w:hyperlink r:id="rId5" w:history="1">
              <w:r>
                <w:rPr>
                  <w:color w:val="0000FF"/>
                  <w:u w:val="single"/>
                </w:rPr>
                <w:t>https://www.canada.ca/en/health-canada/services/food-nutrition/supplemented-foods/technical-documents/list-permitted-food-categories.html</w:t>
              </w:r>
            </w:hyperlink>
            <w:r>
              <w:t>) and to require that all solid supplemented foods with high caffeine content be labelled to indicate that another source of caffeine should not be consumed on the same day. These</w:t>
            </w:r>
            <w:r w:rsidR="00B55711">
              <w:t> </w:t>
            </w:r>
            <w:r>
              <w:t xml:space="preserve">modifications come into force on </w:t>
            </w:r>
            <w:r>
              <w:rPr>
                <w:b/>
                <w:bCs/>
              </w:rPr>
              <w:t>25 November 2025</w:t>
            </w:r>
            <w:r>
              <w:t>, the day of its publication</w:t>
            </w:r>
            <w:r>
              <w:rPr>
                <w:b/>
                <w:bCs/>
              </w:rPr>
              <w:t xml:space="preserve"> </w:t>
            </w:r>
            <w:r>
              <w:t xml:space="preserve">in the </w:t>
            </w:r>
            <w:r>
              <w:rPr>
                <w:i/>
                <w:iCs/>
              </w:rPr>
              <w:t>List of Permitted Supplemental Ingredients</w:t>
            </w:r>
            <w:r>
              <w:t>. However, given that the changes related to the addition of the new cautionary statement fall within the scope of the joint Health Canada and Canadian Food Inspection Agency Food Labelling Coordination policy, Health Canada is giving industry until 1</w:t>
            </w:r>
            <w:r w:rsidR="00920F09">
              <w:t> </w:t>
            </w:r>
            <w:r>
              <w:t>January</w:t>
            </w:r>
            <w:r w:rsidR="00920F09">
              <w:t> </w:t>
            </w:r>
            <w:r>
              <w:t>2028 to implement the labelling change for products affected by the modification to items</w:t>
            </w:r>
            <w:r w:rsidR="001A4810">
              <w:t> </w:t>
            </w:r>
            <w:r>
              <w:t>(4), (6), and (7).</w:t>
            </w:r>
          </w:p>
          <w:p w:rsidR="00765725" w:rsidP="00920F09" w14:paraId="0892560C" w14:textId="6BF1A22C">
            <w:pPr>
              <w:spacing w:before="240" w:after="240"/>
            </w:pPr>
            <w:r>
              <w:t>The purpose of this information document is to publicly announce the Department's decision and action in this regard and to provide the appropriate contact information for those wishing to submit comments, inquiries or new scientific information relevant to the modification.</w:t>
            </w:r>
          </w:p>
        </w:tc>
      </w:tr>
      <w:tr w14:paraId="1FC0387E" w14:textId="77777777" w:rsidTr="00D0271D">
        <w:tblPrEx>
          <w:tblW w:w="0" w:type="auto"/>
          <w:tblLayout w:type="fixed"/>
          <w:tblLook w:val="01E0"/>
        </w:tblPrEx>
        <w:tc>
          <w:tcPr>
            <w:tcW w:w="9242" w:type="dxa"/>
          </w:tcPr>
          <w:p w:rsidR="00AD0FDA" w:rsidRPr="00934B4C" w:rsidP="00934B4C" w14:paraId="0435D1DA" w14:textId="77777777">
            <w:pPr>
              <w:spacing w:after="240"/>
              <w:rPr>
                <w:b/>
              </w:rPr>
            </w:pPr>
            <w:r w:rsidRPr="00934B4C">
              <w:rPr>
                <w:b/>
              </w:rPr>
              <w:t>This addendum concerns a:</w:t>
            </w:r>
          </w:p>
        </w:tc>
      </w:tr>
      <w:tr w14:paraId="46980EE9" w14:textId="77777777" w:rsidTr="00D0271D">
        <w:tblPrEx>
          <w:tblW w:w="0" w:type="auto"/>
          <w:tblLayout w:type="fixed"/>
          <w:tblLook w:val="01E0"/>
        </w:tblPrEx>
        <w:tc>
          <w:tcPr>
            <w:tcW w:w="9242" w:type="dxa"/>
          </w:tcPr>
          <w:p w:rsidR="00AD0FDA" w:rsidRPr="00934B4C" w:rsidP="00934B4C" w14:paraId="2C43F844" w14:textId="77777777">
            <w:pPr>
              <w:ind w:left="1440" w:hanging="873"/>
            </w:pPr>
            <w:r w:rsidRPr="00934B4C">
              <w:t xml:space="preserve">[ </w:t>
            </w:r>
            <w:r w:rsidRPr="00934B4C" w:rsidR="00C52DE3">
              <w:t>]</w:t>
            </w:r>
            <w:r w:rsidRPr="00934B4C" w:rsidR="00F342EB">
              <w:tab/>
            </w:r>
            <w:r w:rsidRPr="00934B4C">
              <w:t>Modification of final date for comments</w:t>
            </w:r>
          </w:p>
        </w:tc>
      </w:tr>
      <w:tr w14:paraId="356CEBA8" w14:textId="77777777" w:rsidTr="00D0271D">
        <w:tblPrEx>
          <w:tblW w:w="0" w:type="auto"/>
          <w:tblLayout w:type="fixed"/>
          <w:tblLook w:val="01E0"/>
        </w:tblPrEx>
        <w:tc>
          <w:tcPr>
            <w:tcW w:w="9242" w:type="dxa"/>
          </w:tcPr>
          <w:p w:rsidR="00AD0FDA" w:rsidRPr="00934B4C" w:rsidP="00934B4C" w14:paraId="5280E20D"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4EB20480" w14:textId="77777777" w:rsidTr="00D0271D">
        <w:tblPrEx>
          <w:tblW w:w="0" w:type="auto"/>
          <w:tblLayout w:type="fixed"/>
          <w:tblLook w:val="01E0"/>
        </w:tblPrEx>
        <w:tc>
          <w:tcPr>
            <w:tcW w:w="9242" w:type="dxa"/>
          </w:tcPr>
          <w:p w:rsidR="00AD0FDA" w:rsidRPr="00934B4C" w:rsidP="00934B4C" w14:paraId="2E996B31" w14:textId="77777777">
            <w:pPr>
              <w:ind w:left="1440" w:hanging="873"/>
            </w:pPr>
            <w:r w:rsidRPr="00934B4C">
              <w:t>[ ]</w:t>
            </w:r>
            <w:r w:rsidRPr="00934B4C">
              <w:tab/>
              <w:t>Modification of content and/or scope of previously notified draft regulation</w:t>
            </w:r>
          </w:p>
        </w:tc>
      </w:tr>
      <w:tr w14:paraId="6BB9AF5A" w14:textId="77777777" w:rsidTr="00D0271D">
        <w:tblPrEx>
          <w:tblW w:w="0" w:type="auto"/>
          <w:tblLayout w:type="fixed"/>
          <w:tblLook w:val="01E0"/>
        </w:tblPrEx>
        <w:tc>
          <w:tcPr>
            <w:tcW w:w="9242" w:type="dxa"/>
          </w:tcPr>
          <w:p w:rsidR="00AD0FDA" w:rsidRPr="00934B4C" w:rsidP="00934B4C" w14:paraId="1E638A34" w14:textId="77777777">
            <w:pPr>
              <w:ind w:left="1440" w:hanging="873"/>
            </w:pPr>
            <w:r w:rsidRPr="00934B4C">
              <w:t>[ ]</w:t>
            </w:r>
            <w:r w:rsidRPr="00934B4C">
              <w:tab/>
              <w:t>Withdrawal of proposed regulation</w:t>
            </w:r>
          </w:p>
        </w:tc>
      </w:tr>
      <w:tr w14:paraId="191D96F7" w14:textId="77777777" w:rsidTr="00D0271D">
        <w:tblPrEx>
          <w:tblW w:w="0" w:type="auto"/>
          <w:tblLayout w:type="fixed"/>
          <w:tblLook w:val="01E0"/>
        </w:tblPrEx>
        <w:tc>
          <w:tcPr>
            <w:tcW w:w="9242" w:type="dxa"/>
          </w:tcPr>
          <w:p w:rsidR="00AD0FDA" w:rsidRPr="00934B4C" w:rsidP="00934B4C" w14:paraId="4D88EDF4" w14:textId="77777777">
            <w:pPr>
              <w:ind w:left="1440" w:hanging="873"/>
            </w:pPr>
            <w:r w:rsidRPr="00934B4C">
              <w:t>[ ]</w:t>
            </w:r>
            <w:r w:rsidRPr="00934B4C">
              <w:tab/>
              <w:t>Change in proposed date of adoption, publication or date of entry into force</w:t>
            </w:r>
          </w:p>
        </w:tc>
      </w:tr>
      <w:tr w14:paraId="575B2305" w14:textId="77777777" w:rsidTr="00D0271D">
        <w:tblPrEx>
          <w:tblW w:w="0" w:type="auto"/>
          <w:tblLayout w:type="fixed"/>
          <w:tblLook w:val="01E0"/>
        </w:tblPrEx>
        <w:tc>
          <w:tcPr>
            <w:tcW w:w="9242" w:type="dxa"/>
          </w:tcPr>
          <w:p w:rsidR="00AD0FDA" w:rsidRPr="00934B4C" w:rsidP="00934B4C" w14:paraId="1F3535BC" w14:textId="77777777">
            <w:pPr>
              <w:spacing w:after="240"/>
              <w:ind w:left="1440" w:hanging="873"/>
            </w:pPr>
            <w:r w:rsidRPr="00934B4C">
              <w:t>[ ]</w:t>
            </w:r>
            <w:r w:rsidRPr="00934B4C">
              <w:tab/>
              <w:t xml:space="preserve">Other: </w:t>
            </w:r>
          </w:p>
        </w:tc>
      </w:tr>
      <w:tr w14:paraId="718DDF0D" w14:textId="77777777" w:rsidTr="00D0271D">
        <w:tblPrEx>
          <w:tblW w:w="0" w:type="auto"/>
          <w:tblLayout w:type="fixed"/>
          <w:tblLook w:val="01E0"/>
        </w:tblPrEx>
        <w:tc>
          <w:tcPr>
            <w:tcW w:w="9242" w:type="dxa"/>
          </w:tcPr>
          <w:p w:rsidR="00AD0FDA" w:rsidRPr="00934B4C" w:rsidP="00934B4C" w14:paraId="5E5B59B8"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6E82F790" w14:textId="77777777" w:rsidTr="00D0271D">
        <w:tblPrEx>
          <w:tblW w:w="0" w:type="auto"/>
          <w:tblLayout w:type="fixed"/>
          <w:tblLook w:val="01E0"/>
        </w:tblPrEx>
        <w:tc>
          <w:tcPr>
            <w:tcW w:w="9242" w:type="dxa"/>
          </w:tcPr>
          <w:p w:rsidR="00AD0FDA" w:rsidRPr="00934B4C" w:rsidP="00934B4C" w14:paraId="6AB2F58C" w14:textId="77777777">
            <w:pPr>
              <w:spacing w:after="240"/>
              <w:ind w:left="1440" w:hanging="873"/>
            </w:pPr>
            <w:r w:rsidRPr="00934B4C">
              <w:t>[ ]</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Not Applicable.</w:t>
            </w:r>
          </w:p>
        </w:tc>
      </w:tr>
      <w:tr w14:paraId="56337425" w14:textId="77777777" w:rsidTr="00D0271D">
        <w:tblPrEx>
          <w:tblW w:w="0" w:type="auto"/>
          <w:tblLayout w:type="fixed"/>
          <w:tblLook w:val="01E0"/>
        </w:tblPrEx>
        <w:tc>
          <w:tcPr>
            <w:tcW w:w="9242" w:type="dxa"/>
          </w:tcPr>
          <w:p w:rsidR="00AD0FDA" w:rsidRPr="00934B4C" w:rsidP="00934B4C" w14:paraId="31604B3F"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6588E166" w14:textId="77777777" w:rsidTr="00D0271D">
        <w:tblPrEx>
          <w:tblW w:w="0" w:type="auto"/>
          <w:tblLayout w:type="fixed"/>
          <w:tblLook w:val="01E0"/>
        </w:tblPrEx>
        <w:tc>
          <w:tcPr>
            <w:tcW w:w="9242" w:type="dxa"/>
          </w:tcPr>
          <w:p w:rsidR="00AD0FDA" w:rsidRPr="00934B4C" w:rsidP="00934B4C" w14:paraId="0EFB9B7E" w14:textId="77777777">
            <w:pPr>
              <w:spacing w:after="240"/>
            </w:pPr>
          </w:p>
        </w:tc>
      </w:tr>
      <w:tr w14:paraId="4C1F4B47" w14:textId="77777777" w:rsidTr="00D0271D">
        <w:tblPrEx>
          <w:tblW w:w="0" w:type="auto"/>
          <w:tblLayout w:type="fixed"/>
          <w:tblLook w:val="01E0"/>
        </w:tblPrEx>
        <w:tc>
          <w:tcPr>
            <w:tcW w:w="9242" w:type="dxa"/>
          </w:tcPr>
          <w:p w:rsidR="00AD0FDA" w:rsidRPr="00934B4C" w:rsidP="00934B4C" w14:paraId="4F3C01D6"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3D9438E0" w14:textId="77777777" w:rsidTr="00D0271D">
        <w:tblPrEx>
          <w:tblW w:w="0" w:type="auto"/>
          <w:tblLayout w:type="fixed"/>
          <w:tblLook w:val="01E0"/>
        </w:tblPrEx>
        <w:tc>
          <w:tcPr>
            <w:tcW w:w="9242" w:type="dxa"/>
          </w:tcPr>
          <w:p w:rsidR="00AD0FDA" w:rsidRPr="00934B4C" w:rsidP="00920F09" w14:paraId="6797C925" w14:textId="77777777">
            <w:pPr>
              <w:spacing w:after="120"/>
            </w:pPr>
            <w:r w:rsidRPr="00934B4C">
              <w:t>The Notice of "Modification to the List of Permitted Supplemental Ingredients to extend the use of caffeine" is available through the following web links:</w:t>
            </w:r>
          </w:p>
          <w:p w:rsidR="00AD0FDA" w:rsidRPr="00934B4C" w:rsidP="00920F09" w14:paraId="450C6EED" w14:textId="77777777">
            <w:pPr>
              <w:spacing w:after="120"/>
            </w:pPr>
            <w:hyperlink r:id="rId6" w:history="1">
              <w:r w:rsidRPr="00934B4C">
                <w:rPr>
                  <w:color w:val="0000FF"/>
                  <w:u w:val="single"/>
                </w:rPr>
                <w:t>https://www.canada.ca/en/health-canada/services/food-nutrition/legislation-guidelines/acts-regulations/notices-proposal-notices-modification/list-permitted-supplemental-ingredients-extend-use-caffeine.html</w:t>
              </w:r>
            </w:hyperlink>
            <w:r w:rsidRPr="00934B4C" w:rsidR="00B55711">
              <w:t xml:space="preserve"> (English)</w:t>
            </w:r>
          </w:p>
          <w:p w:rsidR="00AD0FDA" w:rsidRPr="00934B4C" w:rsidP="00920F09" w14:paraId="090855D0" w14:textId="77777777">
            <w:pPr>
              <w:spacing w:after="120"/>
            </w:pPr>
            <w:hyperlink r:id="rId7" w:history="1">
              <w:r w:rsidRPr="00934B4C">
                <w:rPr>
                  <w:color w:val="0000FF"/>
                  <w:u w:val="single"/>
                </w:rPr>
                <w:t>https://www.canada.ca/fr/sante-canada/services/aliments-nutrition/legislation-lignes-directrices/lois-reglements/avis-proposition-avis-modification/liste-ingredients-supplementaires-autorises-etendre-utilisation-cafeine.html</w:t>
              </w:r>
            </w:hyperlink>
            <w:r w:rsidRPr="00934B4C" w:rsidR="00B55711">
              <w:t xml:space="preserve"> (French)</w:t>
            </w:r>
          </w:p>
          <w:p w:rsidR="00AD0FDA" w:rsidRPr="00934B4C" w:rsidP="00920F09" w14:paraId="1FD0CCA1" w14:textId="77777777">
            <w:pPr>
              <w:spacing w:after="120"/>
            </w:pPr>
            <w:r w:rsidRPr="00934B4C">
              <w:t>Or requested from:</w:t>
            </w:r>
          </w:p>
          <w:p w:rsidR="00AD0FDA" w:rsidRPr="00934B4C" w:rsidP="00934B4C" w14:paraId="2846FB94" w14:textId="77777777">
            <w:r w:rsidRPr="00934B4C">
              <w:t>Canada's Notification Authority and Enquiry Point</w:t>
            </w:r>
          </w:p>
          <w:p w:rsidR="00AD0FDA" w:rsidRPr="00934B4C" w:rsidP="00934B4C" w14:paraId="462E345B" w14:textId="77777777">
            <w:r w:rsidRPr="00934B4C">
              <w:t>Technical Barriers and Regulations Division</w:t>
            </w:r>
          </w:p>
          <w:p w:rsidR="00AD0FDA" w:rsidRPr="00934B4C" w:rsidP="00934B4C" w14:paraId="759B6DDB" w14:textId="77777777">
            <w:r w:rsidRPr="00934B4C">
              <w:t>Global Affairs Canada</w:t>
            </w:r>
          </w:p>
          <w:p w:rsidR="00AD0FDA" w:rsidRPr="00934B4C" w:rsidP="00934B4C" w14:paraId="66D272DA" w14:textId="77777777">
            <w:r w:rsidRPr="00934B4C">
              <w:t>111 Sussex Drive</w:t>
            </w:r>
          </w:p>
          <w:p w:rsidR="00AD0FDA" w:rsidRPr="00934B4C" w:rsidP="00934B4C" w14:paraId="328CFE9F" w14:textId="77777777">
            <w:r w:rsidRPr="00934B4C">
              <w:t>Ottawa, Ontario, K1A 0G2</w:t>
            </w:r>
          </w:p>
          <w:p w:rsidR="00AD0FDA" w:rsidRPr="00920F09" w:rsidP="00934B4C" w14:paraId="6610E30A" w14:textId="77777777">
            <w:pPr>
              <w:rPr>
                <w:lang w:val="es-ES"/>
              </w:rPr>
            </w:pPr>
            <w:r w:rsidRPr="00920F09">
              <w:rPr>
                <w:lang w:val="es-ES"/>
              </w:rPr>
              <w:t>Canada</w:t>
            </w:r>
          </w:p>
          <w:p w:rsidR="00AD0FDA" w:rsidRPr="00920F09" w:rsidP="00934B4C" w14:paraId="30E2E933" w14:textId="77777777">
            <w:pPr>
              <w:rPr>
                <w:lang w:val="es-ES"/>
              </w:rPr>
            </w:pPr>
            <w:r w:rsidRPr="00920F09">
              <w:rPr>
                <w:lang w:val="es-ES"/>
              </w:rPr>
              <w:t>Tel: +(343) 203 4273</w:t>
            </w:r>
          </w:p>
          <w:p w:rsidR="00AD0FDA" w:rsidRPr="00920F09" w:rsidP="00934B4C" w14:paraId="0C1918F4" w14:textId="77777777">
            <w:pPr>
              <w:rPr>
                <w:lang w:val="es-ES"/>
              </w:rPr>
            </w:pPr>
            <w:r w:rsidRPr="00920F09">
              <w:rPr>
                <w:lang w:val="es-ES"/>
              </w:rPr>
              <w:t>Fax: +(613) 943 0346</w:t>
            </w:r>
          </w:p>
          <w:p w:rsidR="00AD0FDA" w:rsidRPr="00920F09" w:rsidP="00934B4C" w14:paraId="39DF10CC" w14:textId="77777777">
            <w:pPr>
              <w:rPr>
                <w:lang w:val="es-ES"/>
              </w:rPr>
            </w:pPr>
            <w:r w:rsidRPr="00920F09">
              <w:rPr>
                <w:lang w:val="es-ES"/>
              </w:rPr>
              <w:t xml:space="preserve">E-mail: </w:t>
            </w:r>
            <w:hyperlink r:id="rId8" w:history="1">
              <w:r w:rsidRPr="00920F09">
                <w:rPr>
                  <w:color w:val="0000FF"/>
                  <w:u w:val="single"/>
                  <w:lang w:val="es-ES"/>
                </w:rPr>
                <w:t>enquirypoint@international.gc.ca</w:t>
              </w:r>
            </w:hyperlink>
          </w:p>
        </w:tc>
      </w:tr>
    </w:tbl>
    <w:p w:rsidR="00AD0FDA" w:rsidRPr="00920F09" w:rsidP="00934B4C" w14:paraId="7A56D040" w14:textId="77777777">
      <w:pPr>
        <w:rPr>
          <w:lang w:val="es-ES"/>
        </w:rPr>
      </w:pPr>
    </w:p>
    <w:p w:rsidR="00AD0FDA" w:rsidRPr="00934B4C" w:rsidP="00934B4C" w14:paraId="6F801026" w14:textId="77777777">
      <w:pPr>
        <w:jc w:val="center"/>
        <w:rPr>
          <w:b/>
        </w:rPr>
      </w:pPr>
      <w:r w:rsidRPr="00934B4C">
        <w:rPr>
          <w:b/>
        </w:rPr>
        <w:t>__________</w:t>
      </w:r>
    </w:p>
    <w:sectPr w:rsidSect="00920F09">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920F09" w:rsidP="00920F09" w14:paraId="5C95C6C4" w14:textId="3A74EBF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920F09" w:rsidP="00920F09" w14:paraId="41532C9C" w14:textId="7DE3E83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0C5D588D"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0F09" w:rsidRPr="00920F09" w:rsidP="00920F09" w14:paraId="21F49B1C" w14:textId="77777777">
    <w:pPr>
      <w:pStyle w:val="Header"/>
      <w:pBdr>
        <w:bottom w:val="single" w:sz="4" w:space="1" w:color="auto"/>
      </w:pBdr>
      <w:tabs>
        <w:tab w:val="clear" w:pos="4513"/>
        <w:tab w:val="clear" w:pos="9027"/>
      </w:tabs>
      <w:jc w:val="center"/>
    </w:pPr>
    <w:r w:rsidRPr="00920F09">
      <w:t>G/SPS/N/CAN/1592/Add.1</w:t>
    </w:r>
  </w:p>
  <w:p w:rsidR="00920F09" w:rsidRPr="00920F09" w:rsidP="00920F09" w14:paraId="5BD412A7" w14:textId="77777777">
    <w:pPr>
      <w:pStyle w:val="Header"/>
      <w:pBdr>
        <w:bottom w:val="single" w:sz="4" w:space="1" w:color="auto"/>
      </w:pBdr>
      <w:tabs>
        <w:tab w:val="clear" w:pos="4513"/>
        <w:tab w:val="clear" w:pos="9027"/>
      </w:tabs>
      <w:jc w:val="center"/>
    </w:pPr>
  </w:p>
  <w:p w:rsidR="00920F09" w:rsidRPr="00920F09" w:rsidP="00920F09" w14:paraId="652F9658" w14:textId="3FEF5671">
    <w:pPr>
      <w:pStyle w:val="Header"/>
      <w:pBdr>
        <w:bottom w:val="single" w:sz="4" w:space="1" w:color="auto"/>
      </w:pBdr>
      <w:tabs>
        <w:tab w:val="clear" w:pos="4513"/>
        <w:tab w:val="clear" w:pos="9027"/>
      </w:tabs>
      <w:jc w:val="center"/>
    </w:pPr>
    <w:r w:rsidRPr="00920F09">
      <w:t xml:space="preserve">- </w:t>
    </w:r>
    <w:r w:rsidRPr="00920F09">
      <w:fldChar w:fldCharType="begin"/>
    </w:r>
    <w:r w:rsidRPr="00920F09">
      <w:instrText xml:space="preserve"> PAGE </w:instrText>
    </w:r>
    <w:r w:rsidRPr="00920F09">
      <w:fldChar w:fldCharType="separate"/>
    </w:r>
    <w:r w:rsidRPr="00920F09">
      <w:t>2</w:t>
    </w:r>
    <w:r w:rsidRPr="00920F09">
      <w:fldChar w:fldCharType="end"/>
    </w:r>
    <w:r w:rsidRPr="00920F09">
      <w:t xml:space="preserve"> -</w:t>
    </w:r>
  </w:p>
  <w:p w:rsidR="00AD0FDA" w:rsidRPr="00920F09" w:rsidP="00920F09" w14:paraId="1B7B030D" w14:textId="6070DF3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0F09" w:rsidRPr="00920F09" w:rsidP="00920F09" w14:paraId="7C681FC5" w14:textId="77777777">
    <w:pPr>
      <w:pStyle w:val="Header"/>
      <w:pBdr>
        <w:bottom w:val="single" w:sz="4" w:space="1" w:color="auto"/>
      </w:pBdr>
      <w:tabs>
        <w:tab w:val="clear" w:pos="4513"/>
        <w:tab w:val="clear" w:pos="9027"/>
      </w:tabs>
      <w:jc w:val="center"/>
    </w:pPr>
    <w:r w:rsidRPr="00920F09">
      <w:t>G/SPS/N/CAN/1592/Add.1</w:t>
    </w:r>
  </w:p>
  <w:p w:rsidR="00920F09" w:rsidRPr="00920F09" w:rsidP="00920F09" w14:paraId="739CC650" w14:textId="77777777">
    <w:pPr>
      <w:pStyle w:val="Header"/>
      <w:pBdr>
        <w:bottom w:val="single" w:sz="4" w:space="1" w:color="auto"/>
      </w:pBdr>
      <w:tabs>
        <w:tab w:val="clear" w:pos="4513"/>
        <w:tab w:val="clear" w:pos="9027"/>
      </w:tabs>
      <w:jc w:val="center"/>
    </w:pPr>
  </w:p>
  <w:p w:rsidR="00920F09" w:rsidRPr="00920F09" w:rsidP="00920F09" w14:paraId="04CEA793" w14:textId="4197B237">
    <w:pPr>
      <w:pStyle w:val="Header"/>
      <w:pBdr>
        <w:bottom w:val="single" w:sz="4" w:space="1" w:color="auto"/>
      </w:pBdr>
      <w:tabs>
        <w:tab w:val="clear" w:pos="4513"/>
        <w:tab w:val="clear" w:pos="9027"/>
      </w:tabs>
      <w:jc w:val="center"/>
    </w:pPr>
    <w:r w:rsidRPr="00920F09">
      <w:t xml:space="preserve">- </w:t>
    </w:r>
    <w:r w:rsidRPr="00920F09">
      <w:fldChar w:fldCharType="begin"/>
    </w:r>
    <w:r w:rsidRPr="00920F09">
      <w:instrText xml:space="preserve"> PAGE </w:instrText>
    </w:r>
    <w:r w:rsidRPr="00920F09">
      <w:fldChar w:fldCharType="separate"/>
    </w:r>
    <w:r w:rsidRPr="00920F09">
      <w:rPr>
        <w:noProof/>
      </w:rPr>
      <w:t>2</w:t>
    </w:r>
    <w:r w:rsidRPr="00920F09">
      <w:fldChar w:fldCharType="end"/>
    </w:r>
    <w:r w:rsidRPr="00920F09">
      <w:t xml:space="preserve"> -</w:t>
    </w:r>
  </w:p>
  <w:p w:rsidR="00AD0FDA" w:rsidRPr="00920F09" w:rsidP="00920F09" w14:paraId="06AE2E6A" w14:textId="328DCBC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64A6D14"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5E2D8B92"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45043EC" w14:textId="27EAF614">
          <w:pPr>
            <w:jc w:val="right"/>
            <w:rPr>
              <w:b/>
              <w:color w:val="FF0000"/>
              <w:szCs w:val="16"/>
            </w:rPr>
          </w:pPr>
          <w:r>
            <w:rPr>
              <w:b/>
              <w:color w:val="FF0000"/>
              <w:szCs w:val="16"/>
            </w:rPr>
            <w:t xml:space="preserve"> </w:t>
          </w:r>
        </w:p>
      </w:tc>
    </w:tr>
    <w:bookmarkEnd w:id="0"/>
    <w:tr w14:paraId="39EDD1D6"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504788E2"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635B202A" w14:textId="77777777">
          <w:pPr>
            <w:jc w:val="right"/>
            <w:rPr>
              <w:b/>
              <w:szCs w:val="16"/>
            </w:rPr>
          </w:pPr>
        </w:p>
      </w:tc>
    </w:tr>
    <w:tr w14:paraId="0A15DFA3"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7397CBC4" w14:textId="77777777">
          <w:pPr>
            <w:jc w:val="left"/>
            <w:rPr>
              <w:noProof/>
              <w:lang w:eastAsia="en-GB"/>
            </w:rPr>
          </w:pPr>
        </w:p>
      </w:tc>
      <w:tc>
        <w:tcPr>
          <w:tcW w:w="5448" w:type="dxa"/>
          <w:gridSpan w:val="2"/>
          <w:shd w:val="clear" w:color="auto" w:fill="FFFFFF"/>
          <w:tcMar>
            <w:left w:w="108" w:type="dxa"/>
            <w:right w:w="108" w:type="dxa"/>
          </w:tcMar>
        </w:tcPr>
        <w:p w:rsidR="00920F09" w:rsidP="0081481D" w14:paraId="02EDB9E3" w14:textId="77777777">
          <w:pPr>
            <w:jc w:val="right"/>
            <w:rPr>
              <w:b/>
              <w:szCs w:val="16"/>
            </w:rPr>
          </w:pPr>
          <w:bookmarkStart w:id="1" w:name="bmkSymbols"/>
          <w:r>
            <w:rPr>
              <w:b/>
              <w:szCs w:val="16"/>
            </w:rPr>
            <w:t>G/SPS/N/CAN/1592/Add.1</w:t>
          </w:r>
        </w:p>
        <w:bookmarkEnd w:id="1"/>
        <w:p w:rsidR="00AD0FDA" w:rsidRPr="00934B4C" w:rsidP="0081481D" w14:paraId="217113EB" w14:textId="0C14542B">
          <w:pPr>
            <w:jc w:val="right"/>
            <w:rPr>
              <w:b/>
              <w:szCs w:val="16"/>
            </w:rPr>
          </w:pPr>
        </w:p>
      </w:tc>
    </w:tr>
    <w:tr w14:paraId="15408226"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04312BB6" w14:textId="77777777"/>
      </w:tc>
      <w:tc>
        <w:tcPr>
          <w:tcW w:w="5448" w:type="dxa"/>
          <w:gridSpan w:val="2"/>
          <w:shd w:val="clear" w:color="auto" w:fill="FFFFFF"/>
          <w:tcMar>
            <w:left w:w="108" w:type="dxa"/>
            <w:right w:w="108" w:type="dxa"/>
          </w:tcMar>
          <w:vAlign w:val="center"/>
        </w:tcPr>
        <w:p w:rsidR="00ED54E0" w:rsidRPr="00AD0FDA" w:rsidP="0081481D" w14:paraId="6D66A122" w14:textId="77777777">
          <w:pPr>
            <w:jc w:val="right"/>
            <w:rPr>
              <w:szCs w:val="16"/>
            </w:rPr>
          </w:pPr>
          <w:bookmarkStart w:id="2" w:name="bmkDate"/>
          <w:bookmarkStart w:id="3" w:name="spsDateDistribution"/>
          <w:r w:rsidRPr="00AD0FDA">
            <w:rPr>
              <w:szCs w:val="16"/>
            </w:rPr>
            <w:t>1 December 2025</w:t>
          </w:r>
          <w:bookmarkEnd w:id="2"/>
          <w:bookmarkEnd w:id="3"/>
        </w:p>
      </w:tc>
    </w:tr>
    <w:tr w14:paraId="4B1BF2DB"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6CDBBC0" w14:textId="77777777">
          <w:pPr>
            <w:jc w:val="left"/>
            <w:rPr>
              <w:b/>
            </w:rPr>
          </w:pPr>
          <w:bookmarkStart w:id="4" w:name="bmkSerial"/>
          <w:r>
            <w:rPr>
              <w:rFonts w:ascii="Verdana" w:eastAsia="Verdana" w:hAnsi="Verdana" w:cs="Verdana"/>
              <w:b w:val="0"/>
              <w:color w:val="FF0000"/>
              <w:sz w:val="18"/>
            </w:rPr>
            <w:t>(25-7980)</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7DA8ADAE"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7BB304FF"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A40A523" w14:textId="13533F2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6D0BE091" w14:textId="4DF10559">
          <w:pPr>
            <w:jc w:val="right"/>
            <w:rPr>
              <w:bCs/>
              <w:szCs w:val="18"/>
            </w:rPr>
          </w:pPr>
          <w:bookmarkStart w:id="7" w:name="bmkLanguage"/>
          <w:r>
            <w:rPr>
              <w:bCs/>
              <w:szCs w:val="18"/>
            </w:rPr>
            <w:t>Original: English/French</w:t>
          </w:r>
          <w:bookmarkEnd w:id="7"/>
        </w:p>
      </w:tc>
    </w:tr>
  </w:tbl>
  <w:p w:rsidR="00ED54E0" w:rsidRPr="00934B4C" w14:paraId="1DD3A14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05088856">
    <w:abstractNumId w:val="9"/>
  </w:num>
  <w:num w:numId="2" w16cid:durableId="503596019">
    <w:abstractNumId w:val="7"/>
  </w:num>
  <w:num w:numId="3" w16cid:durableId="1779325946">
    <w:abstractNumId w:val="6"/>
  </w:num>
  <w:num w:numId="4" w16cid:durableId="128671530">
    <w:abstractNumId w:val="5"/>
  </w:num>
  <w:num w:numId="5" w16cid:durableId="175964396">
    <w:abstractNumId w:val="4"/>
  </w:num>
  <w:num w:numId="6" w16cid:durableId="1292515858">
    <w:abstractNumId w:val="12"/>
  </w:num>
  <w:num w:numId="7" w16cid:durableId="181012492">
    <w:abstractNumId w:val="11"/>
  </w:num>
  <w:num w:numId="8" w16cid:durableId="2012872848">
    <w:abstractNumId w:val="10"/>
  </w:num>
  <w:num w:numId="9" w16cid:durableId="8723764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13474937">
    <w:abstractNumId w:val="13"/>
  </w:num>
  <w:num w:numId="11" w16cid:durableId="1412235390">
    <w:abstractNumId w:val="8"/>
  </w:num>
  <w:num w:numId="12" w16cid:durableId="390887409">
    <w:abstractNumId w:val="3"/>
  </w:num>
  <w:num w:numId="13" w16cid:durableId="1784883833">
    <w:abstractNumId w:val="2"/>
  </w:num>
  <w:num w:numId="14" w16cid:durableId="1581212145">
    <w:abstractNumId w:val="1"/>
  </w:num>
  <w:num w:numId="15" w16cid:durableId="781536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50DD2"/>
    <w:rsid w:val="00080E5E"/>
    <w:rsid w:val="000A4945"/>
    <w:rsid w:val="000B31E1"/>
    <w:rsid w:val="0011356B"/>
    <w:rsid w:val="0013337F"/>
    <w:rsid w:val="0017046C"/>
    <w:rsid w:val="00182B84"/>
    <w:rsid w:val="001A4810"/>
    <w:rsid w:val="001B3F7A"/>
    <w:rsid w:val="001C5CCE"/>
    <w:rsid w:val="001E291F"/>
    <w:rsid w:val="00213B9B"/>
    <w:rsid w:val="00233408"/>
    <w:rsid w:val="0027067B"/>
    <w:rsid w:val="002F1872"/>
    <w:rsid w:val="00312AB5"/>
    <w:rsid w:val="00350C33"/>
    <w:rsid w:val="003572B4"/>
    <w:rsid w:val="00361102"/>
    <w:rsid w:val="00366F84"/>
    <w:rsid w:val="0037063C"/>
    <w:rsid w:val="00384FA1"/>
    <w:rsid w:val="003B3B96"/>
    <w:rsid w:val="00467032"/>
    <w:rsid w:val="0046754A"/>
    <w:rsid w:val="004F203A"/>
    <w:rsid w:val="005336B8"/>
    <w:rsid w:val="00547B5F"/>
    <w:rsid w:val="00573B4D"/>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20F09"/>
    <w:rsid w:val="00934B4C"/>
    <w:rsid w:val="00935E55"/>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5711"/>
    <w:rsid w:val="00B56EDC"/>
    <w:rsid w:val="00B91FCF"/>
    <w:rsid w:val="00BB1F84"/>
    <w:rsid w:val="00BE5468"/>
    <w:rsid w:val="00C11EAC"/>
    <w:rsid w:val="00C305D7"/>
    <w:rsid w:val="00C30F2A"/>
    <w:rsid w:val="00C43456"/>
    <w:rsid w:val="00C47DA3"/>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2B0242E"/>
  <w15:docId w15:val="{567FEEB5-4971-477E-A295-CCBB81D6B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canada.ca/en/health-canada/services/food-nutrition/supplemented-foods/technical-documents/list-permitted-food-categories.html" TargetMode="External" /><Relationship Id="rId6" Type="http://schemas.openxmlformats.org/officeDocument/2006/relationships/hyperlink" Target="https://www.canada.ca/en/health-canada/services/food-nutrition/legislation-guidelines/acts-regulations/notices-proposal-notices-modification/list-permitted-supplemental-ingredients-extend-use-caffeine.html" TargetMode="External" /><Relationship Id="rId7" Type="http://schemas.openxmlformats.org/officeDocument/2006/relationships/hyperlink" Target="https://www.canada.ca/fr/sante-canada/services/aliments-nutrition/legislation-lignes-directrices/lois-reglements/avis-proposition-avis-modification/liste-ingredients-supplementaires-autorises-etendre-utilisation-cafeine.html" TargetMode="External" /><Relationship Id="rId8" Type="http://schemas.openxmlformats.org/officeDocument/2006/relationships/hyperlink" Target="mailto:enquirypoint@international.gc.ca"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b7fe0e87-51e1-4f9a-aa28-42bac697fad4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365F443-4EDA-4ED0-9D43-B9354043B35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652</Words>
  <Characters>3719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4</cp:revision>
  <dcterms:created xsi:type="dcterms:W3CDTF">2025-12-01T09:43:00Z</dcterms:created>
  <dcterms:modified xsi:type="dcterms:W3CDTF">2025-12-01T11:25:00Z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G/SPS/N/CAN/1592/Add.1</vt:lpwstr>
  </property>
  <property fmtid="{D5CDD505-2E9C-101B-9397-08002B2CF9AE}" pid="3" name="TitusGUID">
    <vt:lpwstr>b7fe0e87-51e1-4f9a-aa28-42bac697fad4</vt:lpwstr>
  </property>
  <property fmtid="{D5CDD505-2E9C-101B-9397-08002B2CF9AE}" pid="4" name="WTOCLASSIFICATION">
    <vt:lpwstr>WTO OFFICIAL</vt:lpwstr>
  </property>
</Properties>
</file>