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63669A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18358E92" w14:textId="77777777" w:rsidTr="00F3021D">
        <w:tblPrEx>
          <w:tblW w:w="5000" w:type="pct"/>
          <w:tblLayout w:type="fixed"/>
          <w:tblLook w:val="0000"/>
        </w:tblPrEx>
        <w:tc>
          <w:tcPr>
            <w:tcW w:w="707" w:type="dxa"/>
            <w:tcBorders>
              <w:bottom w:val="single" w:sz="6" w:space="0" w:color="auto"/>
            </w:tcBorders>
          </w:tcPr>
          <w:p w:rsidR="00EA4725" w:rsidRPr="00441372" w:rsidP="00441372" w14:paraId="607FAF9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1D7F123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EEB695B" w14:textId="77777777">
            <w:pPr>
              <w:spacing w:after="120"/>
            </w:pPr>
            <w:r w:rsidRPr="00441372">
              <w:rPr>
                <w:b/>
                <w:bCs/>
              </w:rPr>
              <w:t>If applicable, name of local government involved:</w:t>
            </w:r>
            <w:r w:rsidRPr="0065690F">
              <w:rPr>
                <w:bCs/>
              </w:rPr>
              <w:t xml:space="preserve"> </w:t>
            </w:r>
          </w:p>
        </w:tc>
      </w:tr>
      <w:tr w14:paraId="1B5E40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9AB279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61AC0AC" w14:textId="77777777">
            <w:pPr>
              <w:spacing w:before="120" w:after="120"/>
            </w:pPr>
            <w:r w:rsidRPr="00441372">
              <w:rPr>
                <w:b/>
              </w:rPr>
              <w:t>Agency responsible:</w:t>
            </w:r>
            <w:r w:rsidRPr="0065690F">
              <w:t xml:space="preserve"> European Commission, Health and Food Safety Directorate-General</w:t>
            </w:r>
          </w:p>
        </w:tc>
      </w:tr>
      <w:tr w14:paraId="762F0F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E7F84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32C511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Preparations of a kind used in animal feeding (HS code(s): 2309)</w:t>
            </w:r>
          </w:p>
        </w:tc>
      </w:tr>
      <w:tr w14:paraId="455ED7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80291E"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DB60E61"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C529F1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8AD2486"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E203F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8CE39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2035C83" w14:textId="77777777">
            <w:pPr>
              <w:spacing w:before="120" w:after="120"/>
            </w:pPr>
            <w:r w:rsidRPr="00441372">
              <w:rPr>
                <w:b/>
              </w:rPr>
              <w:t>Title of the notified document:</w:t>
            </w:r>
            <w:r w:rsidRPr="0065690F">
              <w:t xml:space="preserve"> Commission Implementing Regulation (EU) 2025/2183 of 29 October 2025 concerning the renewal of the authorization of L-valine produced with </w:t>
            </w:r>
            <w:r w:rsidRPr="0065690F">
              <w:rPr>
                <w:i/>
                <w:iCs/>
              </w:rPr>
              <w:t>Corynebacterium glutamicum</w:t>
            </w:r>
            <w:r w:rsidRPr="0065690F">
              <w:t xml:space="preserve"> KCCM 80058 as a feed additive for all animal species and repealing Implementing Regulation (EU) No. 848/2014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E61013" w14:paraId="6600ECD2" w14:textId="77777777">
            <w:hyperlink r:id="rId5" w:tgtFrame="_blank" w:history="1">
              <w:r w:rsidRPr="00441372">
                <w:rPr>
                  <w:color w:val="0000FF"/>
                  <w:u w:val="single"/>
                </w:rPr>
                <w:t>https://members.wto.org/crnattachments/2025/SPS/EEC/25_07878_00_e.pdf</w:t>
              </w:r>
            </w:hyperlink>
          </w:p>
          <w:p w:rsidR="00EA4725" w:rsidRPr="00441372" w:rsidP="00441372" w14:paraId="4C8A2F52" w14:textId="77777777">
            <w:hyperlink r:id="rId6" w:tgtFrame="_blank" w:history="1">
              <w:r w:rsidRPr="00441372">
                <w:rPr>
                  <w:color w:val="0000FF"/>
                  <w:u w:val="single"/>
                </w:rPr>
                <w:t>https://members.wto.org/crnattachments/2025/SPS/EEC/25_07878_00_f.pdf</w:t>
              </w:r>
            </w:hyperlink>
          </w:p>
          <w:p w:rsidR="00EA4725" w:rsidRPr="00441372" w:rsidP="00441372" w14:paraId="6C46405E" w14:textId="77777777">
            <w:pPr>
              <w:spacing w:after="120"/>
            </w:pPr>
            <w:hyperlink r:id="rId7" w:tgtFrame="_blank" w:history="1">
              <w:r w:rsidRPr="00441372">
                <w:rPr>
                  <w:color w:val="0000FF"/>
                  <w:u w:val="single"/>
                </w:rPr>
                <w:t>https://members.wto.org/crnattachments/2025/SPS/EEC/25_07878_00_s.pdf</w:t>
              </w:r>
            </w:hyperlink>
          </w:p>
        </w:tc>
      </w:tr>
      <w:tr w14:paraId="5FEF0D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2B1413"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DADCF1C" w14:textId="77777777">
            <w:pPr>
              <w:spacing w:before="120" w:after="120"/>
            </w:pPr>
            <w:r w:rsidRPr="00441372">
              <w:rPr>
                <w:b/>
              </w:rPr>
              <w:t>Description of content:</w:t>
            </w:r>
            <w:r w:rsidRPr="0065690F">
              <w:t xml:space="preserve"> The substance covered by the Act was authorized for a period of 10 years as a feed additive for all animal species in the additive category "nutritional additives" and in the functional group "amino acids, their salts and analogues". An application was submitted for the renewal of the authorization of this substance in accordance with Article 14 of Regulation (EC) No. 1831/2003. Based on the favourable conclusions of a scientific assessment of the dossier submitted by the applicant, conducted by the European Food Safety Authority (EFSA), the authorization of this substance as a feed additive for all animal species is renewed under certain conditions detailed in the Annex to the Act. A transitional period is included for the interested parties to meet the new authorization's requirements.</w:t>
            </w:r>
          </w:p>
        </w:tc>
      </w:tr>
      <w:tr w14:paraId="1E0427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0D6BDE4"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93FC20B"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E1779EC" w14:textId="77777777" w:rsidTr="00EE5F07">
        <w:tblPrEx>
          <w:tblW w:w="5000" w:type="pct"/>
          <w:tblLayout w:type="fixed"/>
          <w:tblLook w:val="0000"/>
        </w:tblPrEx>
        <w:trPr>
          <w:cantSplit/>
        </w:trPr>
        <w:tc>
          <w:tcPr>
            <w:tcW w:w="707" w:type="dxa"/>
            <w:tcBorders>
              <w:top w:val="single" w:sz="6" w:space="0" w:color="auto"/>
              <w:bottom w:val="single" w:sz="6" w:space="0" w:color="auto"/>
            </w:tcBorders>
          </w:tcPr>
          <w:p w:rsidR="00EA4725" w:rsidRPr="00441372" w:rsidP="00441372" w14:paraId="20738958"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0B68B8DB" w14:textId="77777777">
            <w:pPr>
              <w:spacing w:before="120" w:after="120"/>
            </w:pPr>
            <w:r w:rsidRPr="00441372">
              <w:rPr>
                <w:b/>
              </w:rPr>
              <w:t>Is there a relevant international standard? If so, identify the standard:</w:t>
            </w:r>
          </w:p>
          <w:p w:rsidR="00EA4725" w:rsidRPr="00441372" w:rsidP="00441372" w14:paraId="4B8872C3"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 54-2004</w:t>
            </w:r>
          </w:p>
          <w:p w:rsidR="00EA4725" w:rsidRPr="00441372" w:rsidP="00441372" w14:paraId="4CA78E7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E61013" w14:paraId="5310323B" w14:textId="77777777">
            <w:pPr>
              <w:spacing w:before="240"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F63EF94" w14:textId="77777777">
            <w:pPr>
              <w:spacing w:after="120"/>
              <w:ind w:left="720" w:hanging="720"/>
              <w:rPr>
                <w:b/>
              </w:rPr>
            </w:pPr>
            <w:r w:rsidRPr="00441372">
              <w:rPr>
                <w:b/>
              </w:rPr>
              <w:t>[ ]</w:t>
            </w:r>
            <w:r w:rsidRPr="00441372">
              <w:rPr>
                <w:b/>
              </w:rPr>
              <w:tab/>
              <w:t>None</w:t>
            </w:r>
          </w:p>
          <w:p w:rsidR="00EA4725" w:rsidRPr="00441372" w:rsidP="00441372" w14:paraId="27EADB0E" w14:textId="77777777">
            <w:pPr>
              <w:spacing w:after="120"/>
              <w:rPr>
                <w:b/>
              </w:rPr>
            </w:pPr>
            <w:r w:rsidRPr="00441372">
              <w:rPr>
                <w:b/>
              </w:rPr>
              <w:t xml:space="preserve">Does this proposed regulation conform to the relevant international standard? </w:t>
            </w:r>
          </w:p>
          <w:p w:rsidR="00EA4725" w:rsidRPr="00441372" w:rsidP="00441372" w14:paraId="77E27D34" w14:textId="77777777">
            <w:pPr>
              <w:spacing w:after="120"/>
              <w:rPr>
                <w:b/>
              </w:rPr>
            </w:pPr>
            <w:r w:rsidRPr="00441372">
              <w:rPr>
                <w:b/>
              </w:rPr>
              <w:t>[X] Yes   [ ] No</w:t>
            </w:r>
          </w:p>
          <w:p w:rsidR="00EA4725" w:rsidRPr="00441372" w:rsidP="00441372" w14:paraId="46EA1AEB" w14:textId="77777777">
            <w:pPr>
              <w:spacing w:after="120"/>
            </w:pPr>
            <w:r w:rsidRPr="00441372">
              <w:rPr>
                <w:b/>
              </w:rPr>
              <w:t>If no, describe, whenever possible, how and why it deviates from the international standard:</w:t>
            </w:r>
            <w:r w:rsidRPr="0065690F">
              <w:t xml:space="preserve"> </w:t>
            </w:r>
          </w:p>
        </w:tc>
      </w:tr>
      <w:tr w14:paraId="0328D6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AD1054" w14:textId="77777777">
            <w:pPr>
              <w:spacing w:before="120" w:after="120"/>
              <w:jc w:val="left"/>
            </w:pPr>
            <w:r w:rsidRPr="00441372">
              <w:rPr>
                <w:b/>
              </w:rPr>
              <w:t>9.</w:t>
            </w:r>
          </w:p>
        </w:tc>
        <w:tc>
          <w:tcPr>
            <w:tcW w:w="8320" w:type="dxa"/>
            <w:tcBorders>
              <w:top w:val="single" w:sz="6" w:space="0" w:color="auto"/>
              <w:bottom w:val="single" w:sz="6" w:space="0" w:color="auto"/>
            </w:tcBorders>
          </w:tcPr>
          <w:p w:rsidR="00E61013" w:rsidP="00441372" w14:paraId="3413ADF1" w14:textId="77777777">
            <w:pPr>
              <w:spacing w:before="120"/>
            </w:pPr>
            <w:r w:rsidRPr="00441372">
              <w:rPr>
                <w:b/>
              </w:rPr>
              <w:t>Other relevant documents and language(s) in which these are available:</w:t>
            </w:r>
            <w:r w:rsidRPr="0065690F">
              <w:t xml:space="preserve"> </w:t>
            </w:r>
          </w:p>
          <w:p w:rsidR="00EA4725" w:rsidRPr="00441372" w:rsidP="00441372" w14:paraId="5B5825D4" w14:textId="56487093">
            <w:pPr>
              <w:spacing w:before="120"/>
            </w:pPr>
            <w:r w:rsidRPr="0065690F">
              <w:t xml:space="preserve">Scientific Opinion: Assessment of the feed additive consisting of l-valine produced by fermentation with </w:t>
            </w:r>
            <w:r w:rsidRPr="0065690F">
              <w:rPr>
                <w:i/>
                <w:iCs/>
              </w:rPr>
              <w:t>Corynebacterium glutamicum</w:t>
            </w:r>
            <w:r w:rsidRPr="0065690F">
              <w:t xml:space="preserve"> KCCM 80058 for all animal species for the renewal of its authorization (CJ Europe GmbH), EFSA Journal, 23(2), e9251, </w:t>
            </w:r>
            <w:hyperlink r:id="rId8" w:history="1">
              <w:r w:rsidRPr="0065690F">
                <w:rPr>
                  <w:color w:val="0000FF"/>
                  <w:u w:val="single"/>
                </w:rPr>
                <w:t>https://doi.org/10.2903/j.efsa.2025.9251</w:t>
              </w:r>
            </w:hyperlink>
          </w:p>
          <w:p w:rsidR="000B6E21" w:rsidRPr="0065690F" w:rsidP="00441372" w14:paraId="5FB02283" w14:textId="77777777">
            <w:pPr>
              <w:spacing w:after="120"/>
            </w:pPr>
            <w:r w:rsidRPr="0065690F">
              <w:rPr>
                <w:bCs/>
              </w:rPr>
              <w:t xml:space="preserve"> </w:t>
            </w:r>
          </w:p>
        </w:tc>
      </w:tr>
      <w:tr w14:paraId="0FC302C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A7AD99"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BBBA55E" w14:textId="77777777">
            <w:pPr>
              <w:spacing w:before="120" w:after="120"/>
            </w:pPr>
            <w:r w:rsidRPr="00441372">
              <w:rPr>
                <w:b/>
              </w:rPr>
              <w:t xml:space="preserve">Proposed date of adoption </w:t>
            </w:r>
            <w:r w:rsidRPr="00441372">
              <w:rPr>
                <w:b/>
                <w:i/>
              </w:rPr>
              <w:t>(dd/mm/yy)</w:t>
            </w:r>
            <w:r w:rsidRPr="00441372">
              <w:rPr>
                <w:b/>
              </w:rPr>
              <w:t>:</w:t>
            </w:r>
            <w:r w:rsidRPr="0065690F">
              <w:t xml:space="preserve"> 29 October 2025</w:t>
            </w:r>
          </w:p>
          <w:p w:rsidR="00EA4725" w:rsidRPr="00441372" w:rsidP="00441372" w14:paraId="78C3EF5F" w14:textId="77777777">
            <w:pPr>
              <w:spacing w:after="120"/>
            </w:pPr>
            <w:r w:rsidRPr="00441372">
              <w:rPr>
                <w:b/>
              </w:rPr>
              <w:t xml:space="preserve">Proposed date of publication </w:t>
            </w:r>
            <w:r w:rsidRPr="00441372">
              <w:rPr>
                <w:b/>
                <w:i/>
              </w:rPr>
              <w:t>(dd/mm/yy)</w:t>
            </w:r>
            <w:r w:rsidRPr="00441372">
              <w:rPr>
                <w:b/>
              </w:rPr>
              <w:t>:</w:t>
            </w:r>
            <w:r w:rsidRPr="0065690F">
              <w:t xml:space="preserve"> 30 October 2025</w:t>
            </w:r>
          </w:p>
        </w:tc>
      </w:tr>
      <w:tr w14:paraId="002DD9C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4D67A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F8F2F36"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This Regulation shall enter into force on the twentieth day following that of its publication in the Official Journal of the European Union.</w:t>
            </w:r>
            <w:r w:rsidRPr="0065690F">
              <w:rPr>
                <w:b/>
                <w:bCs/>
              </w:rPr>
              <w:t xml:space="preserve"> </w:t>
            </w:r>
          </w:p>
          <w:p w:rsidR="00EA4725" w:rsidRPr="00441372" w:rsidP="00441372" w14:paraId="331322E1" w14:textId="77777777">
            <w:pPr>
              <w:spacing w:after="120"/>
              <w:ind w:left="607" w:hanging="607"/>
              <w:rPr>
                <w:b/>
              </w:rPr>
            </w:pPr>
            <w:r w:rsidRPr="00441372">
              <w:rPr>
                <w:b/>
              </w:rPr>
              <w:t>[X]</w:t>
            </w:r>
            <w:r w:rsidRPr="00441372">
              <w:rPr>
                <w:b/>
              </w:rPr>
              <w:tab/>
              <w:t>Trade facilitating measure</w:t>
            </w:r>
            <w:r w:rsidRPr="0065690F">
              <w:t xml:space="preserve"> </w:t>
            </w:r>
          </w:p>
        </w:tc>
      </w:tr>
      <w:tr w14:paraId="29B0217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073D37"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2C4561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127F3B2"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0B6E21" w:rsidRPr="0065690F" w:rsidP="00441372" w14:paraId="34BCBBC0" w14:textId="77777777">
            <w:r w:rsidRPr="0065690F">
              <w:t>European Commission</w:t>
            </w:r>
          </w:p>
          <w:p w:rsidR="000B6E21" w:rsidRPr="0065690F" w:rsidP="00441372" w14:paraId="477B7530" w14:textId="77777777">
            <w:r w:rsidRPr="0065690F">
              <w:t>DG Health and Food Safety, Unit A4-Multilateral International Relations</w:t>
            </w:r>
          </w:p>
          <w:p w:rsidR="000B6E21" w:rsidRPr="004E3311" w:rsidP="00441372" w14:paraId="664B945E" w14:textId="77777777">
            <w:pPr>
              <w:rPr>
                <w:lang w:val="fr-CH"/>
              </w:rPr>
            </w:pPr>
            <w:r w:rsidRPr="004E3311">
              <w:rPr>
                <w:lang w:val="fr-CH"/>
              </w:rPr>
              <w:t>Rue Froissart 101</w:t>
            </w:r>
          </w:p>
          <w:p w:rsidR="000B6E21" w:rsidRPr="004E3311" w:rsidP="00441372" w14:paraId="7C87C37F" w14:textId="77777777">
            <w:pPr>
              <w:rPr>
                <w:lang w:val="fr-CH"/>
              </w:rPr>
            </w:pPr>
            <w:r w:rsidRPr="004E3311">
              <w:rPr>
                <w:lang w:val="fr-CH"/>
              </w:rPr>
              <w:t>B-1049 Brussels</w:t>
            </w:r>
          </w:p>
          <w:p w:rsidR="000B6E21" w:rsidRPr="004E3311" w:rsidP="00441372" w14:paraId="7F63C7CF" w14:textId="77777777">
            <w:pPr>
              <w:rPr>
                <w:lang w:val="fr-CH"/>
              </w:rPr>
            </w:pPr>
            <w:r w:rsidRPr="004E3311">
              <w:rPr>
                <w:lang w:val="fr-CH"/>
              </w:rPr>
              <w:t>Tel: +(32 2) 29 54263</w:t>
            </w:r>
          </w:p>
          <w:p w:rsidR="000B6E21" w:rsidRPr="0065690F" w:rsidP="00441372" w14:paraId="31F546F6" w14:textId="77777777">
            <w:pPr>
              <w:spacing w:after="120"/>
            </w:pPr>
            <w:r w:rsidRPr="0065690F">
              <w:t xml:space="preserve">E-mail: </w:t>
            </w:r>
            <w:hyperlink r:id="rId9" w:history="1">
              <w:r w:rsidRPr="0065690F">
                <w:rPr>
                  <w:color w:val="0000FF"/>
                  <w:u w:val="single"/>
                </w:rPr>
                <w:t>sps@ec.europa.eu</w:t>
              </w:r>
            </w:hyperlink>
          </w:p>
        </w:tc>
      </w:tr>
      <w:tr w14:paraId="5A9771AC" w14:textId="77777777" w:rsidTr="00F3021D">
        <w:tblPrEx>
          <w:tblW w:w="5000" w:type="pct"/>
          <w:tblLayout w:type="fixed"/>
          <w:tblLook w:val="0000"/>
        </w:tblPrEx>
        <w:tc>
          <w:tcPr>
            <w:tcW w:w="707" w:type="dxa"/>
            <w:tcBorders>
              <w:top w:val="single" w:sz="6" w:space="0" w:color="auto"/>
            </w:tcBorders>
          </w:tcPr>
          <w:p w:rsidR="00EA4725" w:rsidRPr="00441372" w:rsidP="00F3021D" w14:paraId="65007A64"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E6435F4"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4576B37F" w14:textId="77777777">
            <w:pPr>
              <w:keepNext/>
              <w:keepLines/>
              <w:rPr>
                <w:bCs/>
              </w:rPr>
            </w:pPr>
            <w:r w:rsidRPr="0065690F">
              <w:rPr>
                <w:bCs/>
              </w:rPr>
              <w:t>European Commission</w:t>
            </w:r>
          </w:p>
          <w:p w:rsidR="00EA4725" w:rsidRPr="0065690F" w:rsidP="00F3021D" w14:paraId="75D0F184" w14:textId="77777777">
            <w:pPr>
              <w:keepNext/>
              <w:keepLines/>
              <w:rPr>
                <w:bCs/>
              </w:rPr>
            </w:pPr>
            <w:r w:rsidRPr="0065690F">
              <w:rPr>
                <w:bCs/>
              </w:rPr>
              <w:t>DG Health and Food Safety, Unit A4-Multilateral International Relations</w:t>
            </w:r>
          </w:p>
          <w:p w:rsidR="00EA4725" w:rsidRPr="004E3311" w:rsidP="00F3021D" w14:paraId="6BCE41BF" w14:textId="77777777">
            <w:pPr>
              <w:keepNext/>
              <w:keepLines/>
              <w:rPr>
                <w:bCs/>
                <w:lang w:val="fr-CH"/>
              </w:rPr>
            </w:pPr>
            <w:r w:rsidRPr="004E3311">
              <w:rPr>
                <w:bCs/>
                <w:lang w:val="fr-CH"/>
              </w:rPr>
              <w:t>Rue Froissart 101</w:t>
            </w:r>
          </w:p>
          <w:p w:rsidR="00EA4725" w:rsidRPr="004E3311" w:rsidP="00F3021D" w14:paraId="62BD32B2" w14:textId="77777777">
            <w:pPr>
              <w:keepNext/>
              <w:keepLines/>
              <w:rPr>
                <w:bCs/>
                <w:lang w:val="fr-CH"/>
              </w:rPr>
            </w:pPr>
            <w:r w:rsidRPr="004E3311">
              <w:rPr>
                <w:bCs/>
                <w:lang w:val="fr-CH"/>
              </w:rPr>
              <w:t>B-1049 Brussels</w:t>
            </w:r>
          </w:p>
          <w:p w:rsidR="00EA4725" w:rsidRPr="004E3311" w:rsidP="00F3021D" w14:paraId="0F4ECFAD" w14:textId="77777777">
            <w:pPr>
              <w:keepNext/>
              <w:keepLines/>
              <w:rPr>
                <w:bCs/>
                <w:lang w:val="fr-CH"/>
              </w:rPr>
            </w:pPr>
            <w:r w:rsidRPr="004E3311">
              <w:rPr>
                <w:bCs/>
                <w:lang w:val="fr-CH"/>
              </w:rPr>
              <w:t>Tel: +(32 2) 29 54263</w:t>
            </w:r>
          </w:p>
          <w:p w:rsidR="00EA4725" w:rsidRPr="0065690F" w:rsidP="00F3021D" w14:paraId="5D81E0BC" w14:textId="77777777">
            <w:pPr>
              <w:keepNext/>
              <w:keepLines/>
              <w:spacing w:after="120"/>
              <w:rPr>
                <w:bCs/>
              </w:rPr>
            </w:pPr>
            <w:r w:rsidRPr="0065690F">
              <w:rPr>
                <w:bCs/>
              </w:rPr>
              <w:t xml:space="preserve">E-mail: </w:t>
            </w:r>
            <w:hyperlink r:id="rId9" w:history="1">
              <w:r w:rsidRPr="0065690F">
                <w:rPr>
                  <w:bCs/>
                  <w:color w:val="0000FF"/>
                  <w:u w:val="single"/>
                </w:rPr>
                <w:t>sps@ec.europa.eu</w:t>
              </w:r>
            </w:hyperlink>
          </w:p>
        </w:tc>
      </w:tr>
    </w:tbl>
    <w:p w:rsidR="007141CF" w:rsidRPr="00441372" w:rsidP="00441372" w14:paraId="7EF0CA78" w14:textId="77777777"/>
    <w:sectPr w:rsidSect="004E3311">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E3311" w:rsidP="004E3311" w14:paraId="642C7C45" w14:textId="2A54DA5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E3311" w:rsidP="004E3311" w14:paraId="66CADB3A" w14:textId="06790B7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D0B89C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311" w:rsidRPr="004E3311" w:rsidP="004E3311" w14:paraId="3D3FD3BA" w14:textId="77777777">
    <w:pPr>
      <w:pStyle w:val="Header"/>
      <w:pBdr>
        <w:bottom w:val="single" w:sz="4" w:space="1" w:color="auto"/>
      </w:pBdr>
      <w:tabs>
        <w:tab w:val="clear" w:pos="4513"/>
        <w:tab w:val="clear" w:pos="9027"/>
      </w:tabs>
      <w:jc w:val="center"/>
    </w:pPr>
    <w:r w:rsidRPr="004E3311">
      <w:t>G/SPS/N/EU/892</w:t>
    </w:r>
  </w:p>
  <w:p w:rsidR="004E3311" w:rsidRPr="004E3311" w:rsidP="004E3311" w14:paraId="2413F26B" w14:textId="77777777">
    <w:pPr>
      <w:pStyle w:val="Header"/>
      <w:pBdr>
        <w:bottom w:val="single" w:sz="4" w:space="1" w:color="auto"/>
      </w:pBdr>
      <w:tabs>
        <w:tab w:val="clear" w:pos="4513"/>
        <w:tab w:val="clear" w:pos="9027"/>
      </w:tabs>
      <w:jc w:val="center"/>
    </w:pPr>
  </w:p>
  <w:p w:rsidR="004E3311" w:rsidRPr="004E3311" w:rsidP="004E3311" w14:paraId="68215E43" w14:textId="54AA4B34">
    <w:pPr>
      <w:pStyle w:val="Header"/>
      <w:pBdr>
        <w:bottom w:val="single" w:sz="4" w:space="1" w:color="auto"/>
      </w:pBdr>
      <w:tabs>
        <w:tab w:val="clear" w:pos="4513"/>
        <w:tab w:val="clear" w:pos="9027"/>
      </w:tabs>
      <w:jc w:val="center"/>
    </w:pPr>
    <w:r w:rsidRPr="004E3311">
      <w:t xml:space="preserve">- </w:t>
    </w:r>
    <w:r w:rsidRPr="004E3311">
      <w:fldChar w:fldCharType="begin"/>
    </w:r>
    <w:r w:rsidRPr="004E3311">
      <w:instrText xml:space="preserve"> PAGE </w:instrText>
    </w:r>
    <w:r w:rsidRPr="004E3311">
      <w:fldChar w:fldCharType="separate"/>
    </w:r>
    <w:r w:rsidRPr="004E3311">
      <w:t>2</w:t>
    </w:r>
    <w:r w:rsidRPr="004E3311">
      <w:fldChar w:fldCharType="end"/>
    </w:r>
    <w:r w:rsidRPr="004E3311">
      <w:t xml:space="preserve"> -</w:t>
    </w:r>
  </w:p>
  <w:p w:rsidR="00EA4725" w:rsidRPr="004E3311" w:rsidP="004E3311" w14:paraId="4FC410E5" w14:textId="1FB1193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311" w:rsidRPr="004E3311" w:rsidP="004E3311" w14:paraId="255D292C" w14:textId="77777777">
    <w:pPr>
      <w:pStyle w:val="Header"/>
      <w:pBdr>
        <w:bottom w:val="single" w:sz="4" w:space="1" w:color="auto"/>
      </w:pBdr>
      <w:tabs>
        <w:tab w:val="clear" w:pos="4513"/>
        <w:tab w:val="clear" w:pos="9027"/>
      </w:tabs>
      <w:jc w:val="center"/>
    </w:pPr>
    <w:r w:rsidRPr="004E3311">
      <w:t>G/SPS/N/EU/892</w:t>
    </w:r>
  </w:p>
  <w:p w:rsidR="004E3311" w:rsidRPr="004E3311" w:rsidP="004E3311" w14:paraId="04F75629" w14:textId="77777777">
    <w:pPr>
      <w:pStyle w:val="Header"/>
      <w:pBdr>
        <w:bottom w:val="single" w:sz="4" w:space="1" w:color="auto"/>
      </w:pBdr>
      <w:tabs>
        <w:tab w:val="clear" w:pos="4513"/>
        <w:tab w:val="clear" w:pos="9027"/>
      </w:tabs>
      <w:jc w:val="center"/>
    </w:pPr>
  </w:p>
  <w:p w:rsidR="004E3311" w:rsidRPr="004E3311" w:rsidP="004E3311" w14:paraId="5358419E" w14:textId="02013FC0">
    <w:pPr>
      <w:pStyle w:val="Header"/>
      <w:pBdr>
        <w:bottom w:val="single" w:sz="4" w:space="1" w:color="auto"/>
      </w:pBdr>
      <w:tabs>
        <w:tab w:val="clear" w:pos="4513"/>
        <w:tab w:val="clear" w:pos="9027"/>
      </w:tabs>
      <w:jc w:val="center"/>
    </w:pPr>
    <w:r w:rsidRPr="004E3311">
      <w:t xml:space="preserve">- </w:t>
    </w:r>
    <w:r w:rsidRPr="004E3311">
      <w:fldChar w:fldCharType="begin"/>
    </w:r>
    <w:r w:rsidRPr="004E3311">
      <w:instrText xml:space="preserve"> PAGE </w:instrText>
    </w:r>
    <w:r w:rsidRPr="004E3311">
      <w:fldChar w:fldCharType="separate"/>
    </w:r>
    <w:r w:rsidRPr="004E3311">
      <w:rPr>
        <w:noProof/>
      </w:rPr>
      <w:t>2</w:t>
    </w:r>
    <w:r w:rsidRPr="004E3311">
      <w:fldChar w:fldCharType="end"/>
    </w:r>
    <w:r w:rsidRPr="004E3311">
      <w:t xml:space="preserve"> -</w:t>
    </w:r>
  </w:p>
  <w:p w:rsidR="00EA4725" w:rsidRPr="004E3311" w:rsidP="004E3311" w14:paraId="6402A557" w14:textId="1449193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4C4EE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4C3F6A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CDB1F4A" w14:textId="3D84033B">
          <w:pPr>
            <w:jc w:val="right"/>
            <w:rPr>
              <w:b/>
              <w:color w:val="FF0000"/>
              <w:szCs w:val="16"/>
            </w:rPr>
          </w:pPr>
          <w:r>
            <w:rPr>
              <w:b/>
              <w:color w:val="FF0000"/>
              <w:szCs w:val="16"/>
            </w:rPr>
            <w:t xml:space="preserve"> </w:t>
          </w:r>
        </w:p>
      </w:tc>
    </w:tr>
    <w:bookmarkEnd w:id="0"/>
    <w:tr w14:paraId="1850539A"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37C8315" w14:textId="116856CB">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ABDA42E" w14:textId="77777777">
          <w:pPr>
            <w:jc w:val="right"/>
            <w:rPr>
              <w:b/>
              <w:szCs w:val="16"/>
            </w:rPr>
          </w:pPr>
        </w:p>
      </w:tc>
    </w:tr>
    <w:tr w14:paraId="780A35F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CA3FB15" w14:textId="77777777">
          <w:pPr>
            <w:jc w:val="left"/>
            <w:rPr>
              <w:noProof/>
              <w:lang w:eastAsia="en-GB"/>
            </w:rPr>
          </w:pPr>
        </w:p>
      </w:tc>
      <w:tc>
        <w:tcPr>
          <w:tcW w:w="5448" w:type="dxa"/>
          <w:gridSpan w:val="2"/>
          <w:shd w:val="clear" w:color="auto" w:fill="FFFFFF"/>
          <w:tcMar>
            <w:left w:w="108" w:type="dxa"/>
            <w:right w:w="108" w:type="dxa"/>
          </w:tcMar>
        </w:tcPr>
        <w:p w:rsidR="004E3311" w:rsidP="00656ABC" w14:paraId="52BCFC7E" w14:textId="77777777">
          <w:pPr>
            <w:jc w:val="right"/>
            <w:rPr>
              <w:b/>
              <w:szCs w:val="16"/>
            </w:rPr>
          </w:pPr>
          <w:bookmarkStart w:id="1" w:name="bmkSymbols"/>
          <w:r>
            <w:rPr>
              <w:b/>
              <w:szCs w:val="16"/>
            </w:rPr>
            <w:t>G/SPS/N/EU/892</w:t>
          </w:r>
        </w:p>
        <w:bookmarkEnd w:id="1"/>
        <w:p w:rsidR="00656ABC" w:rsidRPr="00EA4725" w:rsidP="00656ABC" w14:paraId="64A06331" w14:textId="7E6062D8">
          <w:pPr>
            <w:jc w:val="right"/>
            <w:rPr>
              <w:b/>
              <w:szCs w:val="16"/>
            </w:rPr>
          </w:pPr>
        </w:p>
      </w:tc>
    </w:tr>
    <w:tr w14:paraId="185BEAE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AC5963B" w14:textId="77777777"/>
      </w:tc>
      <w:tc>
        <w:tcPr>
          <w:tcW w:w="5448" w:type="dxa"/>
          <w:gridSpan w:val="2"/>
          <w:shd w:val="clear" w:color="auto" w:fill="FFFFFF"/>
          <w:tcMar>
            <w:left w:w="108" w:type="dxa"/>
            <w:right w:w="108" w:type="dxa"/>
          </w:tcMar>
          <w:vAlign w:val="center"/>
        </w:tcPr>
        <w:p w:rsidR="00ED54E0" w:rsidRPr="00EA4725" w:rsidP="00422B6F" w14:paraId="49212A2D" w14:textId="77777777">
          <w:pPr>
            <w:jc w:val="right"/>
            <w:rPr>
              <w:szCs w:val="16"/>
            </w:rPr>
          </w:pPr>
          <w:bookmarkStart w:id="2" w:name="spsDateDistribution"/>
          <w:bookmarkStart w:id="3" w:name="bmkDate"/>
          <w:bookmarkEnd w:id="2"/>
          <w:r w:rsidRPr="00EA4725">
            <w:rPr>
              <w:szCs w:val="16"/>
            </w:rPr>
            <w:t>12 November 2025</w:t>
          </w:r>
          <w:bookmarkEnd w:id="3"/>
        </w:p>
      </w:tc>
    </w:tr>
    <w:tr w14:paraId="0777DBC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94F3846" w14:textId="77777777">
          <w:pPr>
            <w:jc w:val="left"/>
            <w:rPr>
              <w:b/>
            </w:rPr>
          </w:pPr>
          <w:bookmarkStart w:id="4" w:name="bmkSerial"/>
          <w:r>
            <w:rPr>
              <w:rFonts w:ascii="Verdana" w:eastAsia="Verdana" w:hAnsi="Verdana" w:cs="Verdana"/>
              <w:b w:val="0"/>
              <w:color w:val="FF0000"/>
              <w:sz w:val="18"/>
            </w:rPr>
            <w:t>(25-7471)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F2E8A2F"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015B96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C365B2D" w14:textId="7F35BCF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C547B93" w14:textId="169D86D1">
          <w:pPr>
            <w:jc w:val="right"/>
            <w:rPr>
              <w:bCs/>
              <w:szCs w:val="18"/>
            </w:rPr>
          </w:pPr>
          <w:bookmarkStart w:id="7" w:name="bmkLanguage"/>
          <w:r>
            <w:rPr>
              <w:bCs/>
              <w:szCs w:val="18"/>
            </w:rPr>
            <w:t>Original: English</w:t>
          </w:r>
          <w:bookmarkEnd w:id="7"/>
        </w:p>
      </w:tc>
    </w:tr>
  </w:tbl>
  <w:p w:rsidR="00ED54E0" w:rsidRPr="00441372" w14:paraId="5C75853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18049038">
    <w:abstractNumId w:val="9"/>
  </w:num>
  <w:num w:numId="2" w16cid:durableId="2055545900">
    <w:abstractNumId w:val="7"/>
  </w:num>
  <w:num w:numId="3" w16cid:durableId="669718261">
    <w:abstractNumId w:val="6"/>
  </w:num>
  <w:num w:numId="4" w16cid:durableId="978531284">
    <w:abstractNumId w:val="5"/>
  </w:num>
  <w:num w:numId="5" w16cid:durableId="487865771">
    <w:abstractNumId w:val="4"/>
  </w:num>
  <w:num w:numId="6" w16cid:durableId="552037900">
    <w:abstractNumId w:val="12"/>
  </w:num>
  <w:num w:numId="7" w16cid:durableId="734477583">
    <w:abstractNumId w:val="11"/>
  </w:num>
  <w:num w:numId="8" w16cid:durableId="343752511">
    <w:abstractNumId w:val="10"/>
  </w:num>
  <w:num w:numId="9" w16cid:durableId="1488127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485987">
    <w:abstractNumId w:val="13"/>
  </w:num>
  <w:num w:numId="11" w16cid:durableId="396442530">
    <w:abstractNumId w:val="8"/>
  </w:num>
  <w:num w:numId="12" w16cid:durableId="585578487">
    <w:abstractNumId w:val="3"/>
  </w:num>
  <w:num w:numId="13" w16cid:durableId="1965112455">
    <w:abstractNumId w:val="2"/>
  </w:num>
  <w:num w:numId="14" w16cid:durableId="1714042197">
    <w:abstractNumId w:val="1"/>
  </w:num>
  <w:num w:numId="15" w16cid:durableId="291594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52A01"/>
    <w:rsid w:val="00084B3C"/>
    <w:rsid w:val="00092985"/>
    <w:rsid w:val="000A11E9"/>
    <w:rsid w:val="000A4945"/>
    <w:rsid w:val="000B31E1"/>
    <w:rsid w:val="000B6E2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3311"/>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3A36"/>
    <w:rsid w:val="00744D6F"/>
    <w:rsid w:val="00745146"/>
    <w:rsid w:val="007577E3"/>
    <w:rsid w:val="00760DB3"/>
    <w:rsid w:val="00766E8D"/>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1013"/>
    <w:rsid w:val="00E64A48"/>
    <w:rsid w:val="00EA4725"/>
    <w:rsid w:val="00EA5D4F"/>
    <w:rsid w:val="00EB6C56"/>
    <w:rsid w:val="00EC687E"/>
    <w:rsid w:val="00ED54E0"/>
    <w:rsid w:val="00EE3CAF"/>
    <w:rsid w:val="00EE5F07"/>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C92B66"/>
  <w15:docId w15:val="{4176A700-17B0-4AEA-A6E8-64ED3D4C9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7878_00_e.pdf" TargetMode="External" /><Relationship Id="rId6" Type="http://schemas.openxmlformats.org/officeDocument/2006/relationships/hyperlink" Target="https://members.wto.org/crnattachments/2025/SPS/EEC/25_07878_00_f.pdf" TargetMode="External" /><Relationship Id="rId7" Type="http://schemas.openxmlformats.org/officeDocument/2006/relationships/hyperlink" Target="https://members.wto.org/crnattachments/2025/SPS/EEC/25_07878_00_s.pdf" TargetMode="External" /><Relationship Id="rId8" Type="http://schemas.openxmlformats.org/officeDocument/2006/relationships/hyperlink" Target="https://doi.org/10.2903/j.efsa.2025.9251"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bc4680f1-eb3b-4dd8-8063-9b0637d29c77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879BF1A-67D9-4C84-B1B9-C3705B35354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5</cp:revision>
  <dcterms:created xsi:type="dcterms:W3CDTF">2025-11-12T11:17:00Z</dcterms:created>
  <dcterms:modified xsi:type="dcterms:W3CDTF">2025-11-12T11:20:00Z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G/SPS/N/EU/892</vt:lpwstr>
  </property>
  <property fmtid="{D5CDD505-2E9C-101B-9397-08002B2CF9AE}" pid="3" name="TitusGUID">
    <vt:lpwstr>bc4680f1-eb3b-4dd8-8063-9b0637d29c77</vt:lpwstr>
  </property>
  <property fmtid="{D5CDD505-2E9C-101B-9397-08002B2CF9AE}" pid="4" name="WTOCLASSIFICATION">
    <vt:lpwstr>WTO OFFICIAL</vt:lpwstr>
  </property>
</Properties>
</file>