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165EAF1A"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970337D" w14:textId="77777777">
      <w:pPr>
        <w:pStyle w:val="Title3"/>
      </w:pPr>
      <w:r w:rsidRPr="003C63F2">
        <w:t>Addendum</w:t>
      </w:r>
    </w:p>
    <w:p w:rsidR="004A19AF" w:rsidRPr="003C63F2" w:rsidP="003C63F2" w14:paraId="70742157" w14:textId="77777777">
      <w:r w:rsidRPr="00934B4C">
        <w:t xml:space="preserve">The following communication, received on </w:t>
      </w:r>
      <w:r w:rsidRPr="00934B4C">
        <w:t>26 August 2025</w:t>
      </w:r>
      <w:r w:rsidRPr="00934B4C">
        <w:t xml:space="preserve">, is being circulated at the request of the Delegation of </w:t>
      </w:r>
      <w:r w:rsidRPr="00934B4C">
        <w:rPr>
          <w:u w:val="single"/>
        </w:rPr>
        <w:t>Australia</w:t>
      </w:r>
      <w:r w:rsidRPr="00934B4C">
        <w:t>.</w:t>
      </w:r>
    </w:p>
    <w:p w:rsidR="004A19AF" w:rsidRPr="003C63F2" w:rsidP="003C63F2" w14:paraId="32300C21" w14:textId="77777777"/>
    <w:p w:rsidR="004A19AF" w:rsidRPr="003C63F2" w:rsidP="003C63F2" w14:paraId="784E1BD6" w14:textId="77777777">
      <w:pPr>
        <w:jc w:val="center"/>
        <w:rPr>
          <w:b/>
        </w:rPr>
      </w:pPr>
      <w:r w:rsidRPr="003C63F2">
        <w:rPr>
          <w:b/>
        </w:rPr>
        <w:t>_______________</w:t>
      </w:r>
    </w:p>
    <w:p w:rsidR="004A19AF" w:rsidRPr="003C63F2" w:rsidP="003C63F2" w14:paraId="678ED661" w14:textId="77777777"/>
    <w:p w:rsidR="004A19AF" w:rsidRPr="003C63F2" w:rsidP="003C63F2" w14:paraId="6DC327F8" w14:textId="77777777"/>
    <w:tbl>
      <w:tblPr>
        <w:tblW w:w="0" w:type="auto"/>
        <w:tblLayout w:type="fixed"/>
        <w:tblCellMar>
          <w:left w:w="0" w:type="dxa"/>
          <w:right w:w="115" w:type="dxa"/>
        </w:tblCellMar>
        <w:tblLook w:val="01E0"/>
      </w:tblPr>
      <w:tblGrid>
        <w:gridCol w:w="9242"/>
      </w:tblGrid>
      <w:tr w14:paraId="46AF57AB" w14:textId="77777777" w:rsidTr="00C9391C">
        <w:tblPrEx>
          <w:tblW w:w="0" w:type="auto"/>
          <w:tblLayout w:type="fixed"/>
          <w:tblLook w:val="01E0"/>
        </w:tblPrEx>
        <w:tc>
          <w:tcPr>
            <w:tcW w:w="9242" w:type="dxa"/>
          </w:tcPr>
          <w:p w:rsidR="004A19AF" w:rsidRPr="003C63F2" w:rsidP="003C63F2" w14:paraId="72E14209" w14:textId="77777777">
            <w:pPr>
              <w:spacing w:after="240"/>
              <w:rPr>
                <w:u w:val="single"/>
              </w:rPr>
            </w:pPr>
            <w:r w:rsidRPr="003C63F2">
              <w:rPr>
                <w:u w:val="single"/>
              </w:rPr>
              <w:t>Notification of emergency measures for Khapra beetle</w:t>
            </w:r>
          </w:p>
        </w:tc>
      </w:tr>
      <w:tr w14:paraId="662C19DA" w14:textId="77777777" w:rsidTr="00C9391C">
        <w:tblPrEx>
          <w:tblW w:w="0" w:type="auto"/>
          <w:tblLayout w:type="fixed"/>
          <w:tblLook w:val="01E0"/>
        </w:tblPrEx>
        <w:tc>
          <w:tcPr>
            <w:tcW w:w="9242" w:type="dxa"/>
          </w:tcPr>
          <w:p w:rsidR="004A19AF" w:rsidRPr="003C63F2" w:rsidP="003C63F2" w14:paraId="4FC31376" w14:textId="43FF1727">
            <w:pPr>
              <w:spacing w:after="240"/>
              <w:rPr>
                <w:u w:val="single"/>
              </w:rPr>
            </w:pPr>
            <w:r>
              <w:t>Khapra beetle measures: Update to pest risk analysis for khapra beetle</w:t>
            </w:r>
          </w:p>
          <w:p w:rsidR="002B2E4B" w:rsidP="00D01D72" w14:paraId="09CE75A1" w14:textId="77777777">
            <w:pPr>
              <w:spacing w:after="120"/>
            </w:pPr>
            <w:r>
              <w:t xml:space="preserve">As previously communicated via SPS notice </w:t>
            </w:r>
            <w:hyperlink r:id="rId4" w:history="1">
              <w:r>
                <w:rPr>
                  <w:color w:val="0000FF"/>
                  <w:u w:val="single"/>
                </w:rPr>
                <w:t>G/SPS/N/AUS/502/Add.18</w:t>
              </w:r>
            </w:hyperlink>
            <w:r>
              <w:t>, we are currently undertaking a pest risk analysis (PRA) for khapra beetle (</w:t>
            </w:r>
            <w:r>
              <w:rPr>
                <w:i/>
                <w:iCs/>
              </w:rPr>
              <w:t>Trogoderma granarium</w:t>
            </w:r>
            <w:r>
              <w:t>). This update is to inform stakeholders that the PRA will now be conducted in two parts: Part 1 will focus on the plant product pathway, and Part 2 on the sea container pathway.</w:t>
            </w:r>
          </w:p>
          <w:p w:rsidR="002B2E4B" w:rsidP="00D01D72" w14:paraId="50835A35" w14:textId="77777777">
            <w:pPr>
              <w:spacing w:after="120"/>
            </w:pPr>
            <w:r>
              <w:t xml:space="preserve">Importantly, this change does not alter the overall purpose or scope of the PRA. The objective remains to assess the biosecurity risks posed by khapra beetle, to evaluate the current </w:t>
            </w:r>
            <w:hyperlink r:id="rId5" w:history="1">
              <w:r>
                <w:rPr>
                  <w:color w:val="0000FF"/>
                  <w:u w:val="single"/>
                </w:rPr>
                <w:t>emergency measures</w:t>
              </w:r>
            </w:hyperlink>
            <w:r>
              <w:t xml:space="preserve"> (also termed 'urgent actions') and to recommend effective and appropriate ongoing phytosanitary measures. These emergency measures will stay in place until the PRA is finalised, and any recommended ongoing phytosanitary measures are implemented.</w:t>
            </w:r>
          </w:p>
          <w:p w:rsidR="002B2E4B" w:rsidP="00D01D72" w14:paraId="5A289059" w14:textId="77777777">
            <w:pPr>
              <w:spacing w:before="120"/>
            </w:pPr>
            <w:r>
              <w:t>We are adopting this 2-part approach because:</w:t>
            </w:r>
          </w:p>
          <w:p w:rsidR="002B2E4B" w:rsidP="00D01D72" w14:paraId="61369227" w14:textId="77777777">
            <w:pPr>
              <w:numPr>
                <w:ilvl w:val="0"/>
                <w:numId w:val="16"/>
              </w:numPr>
              <w:ind w:left="357" w:hanging="357"/>
            </w:pPr>
            <w:r>
              <w:t>The biosecurity risks and emergency measures differ between the two pathways;</w:t>
            </w:r>
          </w:p>
          <w:p w:rsidR="002B2E4B" w:rsidP="00D01D72" w14:paraId="0591CA9F" w14:textId="77777777">
            <w:pPr>
              <w:numPr>
                <w:ilvl w:val="0"/>
                <w:numId w:val="16"/>
              </w:numPr>
              <w:ind w:left="357" w:hanging="357"/>
            </w:pPr>
            <w:r>
              <w:t>Risk assessments, evaluation of existing emergency measures, and proposed ongoing risk management need to be conducted separately for each pathway;</w:t>
            </w:r>
          </w:p>
          <w:p w:rsidR="002B2E4B" w:rsidP="00D01D72" w14:paraId="4516F12E" w14:textId="77777777">
            <w:pPr>
              <w:numPr>
                <w:ilvl w:val="0"/>
                <w:numId w:val="16"/>
              </w:numPr>
              <w:ind w:left="357" w:hanging="357"/>
            </w:pPr>
            <w:r>
              <w:t>Australia and the International Plant Protection Convention have several initiatives underway targeting sea container biosecurity risks, which will influence the analysis for that pathway.</w:t>
            </w:r>
          </w:p>
          <w:p w:rsidR="002B2E4B" w:rsidP="00D01D72" w14:paraId="1C2F4D20" w14:textId="77777777">
            <w:pPr>
              <w:spacing w:before="120" w:after="120"/>
            </w:pPr>
            <w:r>
              <w:t>This approach is expected to be more logical, efficient, and easier for stakeholders to review and provide feedback on.</w:t>
            </w:r>
          </w:p>
          <w:p w:rsidR="002B2E4B" w:rsidP="00D01D72" w14:paraId="5DAE8F2D" w14:textId="77777777">
            <w:pPr>
              <w:spacing w:after="120"/>
            </w:pPr>
            <w:r>
              <w:t>We anticipate publishing a draft report for Part 1 in late 2025, followed by Part 2 in the first half of 2026. Each draft report will be released for a 60-day public consultation period.</w:t>
            </w:r>
          </w:p>
          <w:p w:rsidR="002B2E4B" w:rsidP="00D01D72" w14:paraId="0CB7A74A" w14:textId="77777777">
            <w:pPr>
              <w:spacing w:after="120"/>
            </w:pPr>
            <w:r>
              <w:t>Please note that the anticipated publication dates for the draft reports are indicative and may be subject to change.</w:t>
            </w:r>
          </w:p>
          <w:p w:rsidR="002B2E4B" w:rsidP="00D01D72" w14:paraId="7C99719C" w14:textId="77777777">
            <w:pPr>
              <w:spacing w:before="120"/>
            </w:pPr>
            <w:r>
              <w:t>For further information on this pest risk analysis and current emergency measures, see the following webpages:</w:t>
            </w:r>
          </w:p>
          <w:p w:rsidR="002B2E4B" w:rsidP="00D01D72" w14:paraId="25A86290" w14:textId="48AE726F">
            <w:pPr>
              <w:pStyle w:val="ListParagraph"/>
              <w:numPr>
                <w:ilvl w:val="0"/>
                <w:numId w:val="17"/>
              </w:numPr>
              <w:ind w:left="357" w:hanging="357"/>
            </w:pPr>
            <w:r>
              <w:t xml:space="preserve">Khapra beetle pest risk analysis: </w:t>
            </w:r>
            <w:hyperlink r:id="rId6" w:tgtFrame="_blank" w:history="1">
              <w:r w:rsidRPr="00D01D72">
                <w:rPr>
                  <w:color w:val="0000FF"/>
                  <w:u w:val="single"/>
                </w:rPr>
                <w:t>https://www.agriculture.gov.au/biosecurity-trade/policy/risk-analysis/plant/khapra-pest-risk-analysis</w:t>
              </w:r>
            </w:hyperlink>
          </w:p>
          <w:p w:rsidR="002B2E4B" w:rsidP="00D01D72" w14:paraId="47D9EF93" w14:textId="2BA1FFBF">
            <w:pPr>
              <w:pStyle w:val="ListParagraph"/>
              <w:numPr>
                <w:ilvl w:val="0"/>
                <w:numId w:val="17"/>
              </w:numPr>
              <w:ind w:left="357" w:hanging="357"/>
            </w:pPr>
            <w:r>
              <w:t xml:space="preserve">Urgent actions to protect against khapra beetle: </w:t>
            </w:r>
            <w:hyperlink r:id="rId5" w:tgtFrame="_blank" w:history="1">
              <w:r w:rsidRPr="00D01D72">
                <w:rPr>
                  <w:color w:val="0000FF"/>
                  <w:u w:val="single"/>
                </w:rPr>
                <w:t>https://www.agriculture.gov.au/biosecurity-trade/pests-diseases-weeds/plant/identify/khapra-beetle/urgent-actions</w:t>
              </w:r>
            </w:hyperlink>
          </w:p>
          <w:p w:rsidR="002B2E4B" w:rsidP="00D01D72" w14:paraId="0EC8BC43" w14:textId="3012DC51">
            <w:pPr>
              <w:pStyle w:val="ListParagraph"/>
              <w:numPr>
                <w:ilvl w:val="0"/>
                <w:numId w:val="17"/>
              </w:numPr>
              <w:ind w:left="357" w:hanging="357"/>
            </w:pPr>
            <w:r>
              <w:t xml:space="preserve">Measures for plant products under the khapra beetle urgent actions: </w:t>
            </w:r>
            <w:hyperlink r:id="rId7" w:tgtFrame="_blank" w:history="1">
              <w:r w:rsidRPr="00D01D72">
                <w:rPr>
                  <w:color w:val="0000FF"/>
                  <w:u w:val="single"/>
                </w:rPr>
                <w:t>https://www.agriculture.gov.au/biosecurity-trade/pests-diseases-weeds/plant/identify/khapra-beetle/plant-products</w:t>
              </w:r>
            </w:hyperlink>
          </w:p>
          <w:p w:rsidR="002B2E4B" w:rsidP="00D01D72" w14:paraId="45EB125B" w14:textId="57ADDCDE">
            <w:pPr>
              <w:pStyle w:val="ListParagraph"/>
              <w:numPr>
                <w:ilvl w:val="0"/>
                <w:numId w:val="17"/>
              </w:numPr>
              <w:spacing w:after="240"/>
              <w:ind w:left="357" w:hanging="357"/>
            </w:pPr>
            <w:r>
              <w:t xml:space="preserve">Measures for sea containers under the khapra beetle urgent actions: </w:t>
            </w:r>
            <w:hyperlink r:id="rId8" w:tgtFrame="_blank" w:history="1">
              <w:r w:rsidRPr="00D01D72">
                <w:rPr>
                  <w:color w:val="0000FF"/>
                  <w:u w:val="single"/>
                </w:rPr>
                <w:t>https://www.agriculture.gov.au/biosecurity-trade/pests-diseases-weeds/plant/identify/khapra-beetle/sea-container-measures</w:t>
              </w:r>
            </w:hyperlink>
          </w:p>
        </w:tc>
      </w:tr>
      <w:tr w14:paraId="2EAE6BCD" w14:textId="77777777" w:rsidTr="00C9391C">
        <w:tblPrEx>
          <w:tblW w:w="0" w:type="auto"/>
          <w:tblLayout w:type="fixed"/>
          <w:tblLook w:val="01E0"/>
        </w:tblPrEx>
        <w:tc>
          <w:tcPr>
            <w:tcW w:w="9242" w:type="dxa"/>
          </w:tcPr>
          <w:p w:rsidR="004A19AF" w:rsidRPr="003C63F2" w:rsidP="003C63F2" w14:paraId="44E8B682" w14:textId="77777777">
            <w:pPr>
              <w:spacing w:after="240"/>
              <w:rPr>
                <w:b/>
              </w:rPr>
            </w:pPr>
            <w:r w:rsidRPr="003C63F2">
              <w:rPr>
                <w:b/>
              </w:rPr>
              <w:t>This addendum concerns a:</w:t>
            </w:r>
          </w:p>
        </w:tc>
      </w:tr>
      <w:tr w14:paraId="2DC152D4" w14:textId="77777777" w:rsidTr="00C9391C">
        <w:tblPrEx>
          <w:tblW w:w="0" w:type="auto"/>
          <w:tblLayout w:type="fixed"/>
          <w:tblLook w:val="01E0"/>
        </w:tblPrEx>
        <w:tc>
          <w:tcPr>
            <w:tcW w:w="9242" w:type="dxa"/>
          </w:tcPr>
          <w:p w:rsidR="004A19AF" w:rsidRPr="003C63F2" w:rsidP="003C63F2" w14:paraId="746A5164" w14:textId="77777777">
            <w:pPr>
              <w:ind w:left="1440" w:hanging="873"/>
            </w:pPr>
            <w:r w:rsidRPr="003C63F2">
              <w:t>[ ]</w:t>
            </w:r>
            <w:r w:rsidRPr="003C63F2">
              <w:tab/>
              <w:t>Modification of final date for comments</w:t>
            </w:r>
          </w:p>
        </w:tc>
      </w:tr>
      <w:tr w14:paraId="6CBA7BC8" w14:textId="77777777" w:rsidTr="00C9391C">
        <w:tblPrEx>
          <w:tblW w:w="0" w:type="auto"/>
          <w:tblLayout w:type="fixed"/>
          <w:tblLook w:val="01E0"/>
        </w:tblPrEx>
        <w:tc>
          <w:tcPr>
            <w:tcW w:w="9242" w:type="dxa"/>
          </w:tcPr>
          <w:p w:rsidR="004A19AF" w:rsidRPr="003C63F2" w:rsidP="003C63F2" w14:paraId="6C935F43"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295805BE" w14:textId="77777777" w:rsidTr="00C9391C">
        <w:tblPrEx>
          <w:tblW w:w="0" w:type="auto"/>
          <w:tblLayout w:type="fixed"/>
          <w:tblLook w:val="01E0"/>
        </w:tblPrEx>
        <w:tc>
          <w:tcPr>
            <w:tcW w:w="9242" w:type="dxa"/>
          </w:tcPr>
          <w:p w:rsidR="004A19AF" w:rsidRPr="003C63F2" w:rsidP="003C63F2" w14:paraId="492B9DF8"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46C7206" w14:textId="77777777" w:rsidTr="00C9391C">
        <w:tblPrEx>
          <w:tblW w:w="0" w:type="auto"/>
          <w:tblLayout w:type="fixed"/>
          <w:tblLook w:val="01E0"/>
        </w:tblPrEx>
        <w:tc>
          <w:tcPr>
            <w:tcW w:w="9242" w:type="dxa"/>
          </w:tcPr>
          <w:p w:rsidR="004A19AF" w:rsidRPr="003C63F2" w:rsidP="003C63F2" w14:paraId="30E10AEA" w14:textId="77777777">
            <w:pPr>
              <w:ind w:left="1440" w:hanging="873"/>
            </w:pPr>
            <w:r w:rsidRPr="003C63F2">
              <w:t>[ ]</w:t>
            </w:r>
            <w:r w:rsidRPr="003C63F2">
              <w:tab/>
            </w:r>
            <w:r w:rsidRPr="003C63F2">
              <w:t>Change in period of application of measure</w:t>
            </w:r>
          </w:p>
        </w:tc>
      </w:tr>
      <w:tr w14:paraId="4F7A4365" w14:textId="77777777" w:rsidTr="00C9391C">
        <w:tblPrEx>
          <w:tblW w:w="0" w:type="auto"/>
          <w:tblLayout w:type="fixed"/>
          <w:tblLook w:val="01E0"/>
        </w:tblPrEx>
        <w:tc>
          <w:tcPr>
            <w:tcW w:w="9242" w:type="dxa"/>
          </w:tcPr>
          <w:p w:rsidR="004A19AF" w:rsidRPr="003C63F2" w:rsidP="003C63F2" w14:paraId="0F5F20CE" w14:textId="77777777">
            <w:pPr>
              <w:spacing w:after="240"/>
              <w:ind w:left="1440" w:hanging="873"/>
            </w:pPr>
            <w:r w:rsidRPr="003C63F2">
              <w:t>[</w:t>
            </w:r>
            <w:r w:rsidRPr="003C63F2">
              <w:rPr>
                <w:b/>
                <w:bCs/>
              </w:rPr>
              <w:t>X</w:t>
            </w:r>
            <w:r w:rsidRPr="003C63F2">
              <w:t>]</w:t>
            </w:r>
            <w:r w:rsidRPr="003C63F2">
              <w:tab/>
              <w:t>Other: Change in process of conducting pest risk analysis into two parts.</w:t>
            </w:r>
          </w:p>
        </w:tc>
      </w:tr>
      <w:tr w14:paraId="44516CC2" w14:textId="77777777" w:rsidTr="00C9391C">
        <w:tblPrEx>
          <w:tblW w:w="0" w:type="auto"/>
          <w:tblLayout w:type="fixed"/>
          <w:tblLook w:val="01E0"/>
        </w:tblPrEx>
        <w:tc>
          <w:tcPr>
            <w:tcW w:w="9242" w:type="dxa"/>
          </w:tcPr>
          <w:p w:rsidR="004A19AF" w:rsidRPr="003C63F2" w:rsidP="003C63F2" w14:paraId="20785B40"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61BC83A8" w14:textId="77777777" w:rsidTr="00C9391C">
        <w:tblPrEx>
          <w:tblW w:w="0" w:type="auto"/>
          <w:tblLayout w:type="fixed"/>
          <w:tblLook w:val="01E0"/>
        </w:tblPrEx>
        <w:tc>
          <w:tcPr>
            <w:tcW w:w="9242" w:type="dxa"/>
          </w:tcPr>
          <w:p w:rsidR="004A19AF" w:rsidRPr="003C63F2" w:rsidP="003C63F2" w14:paraId="02C62566" w14:textId="77777777">
            <w:r w:rsidRPr="003C63F2">
              <w:t>Australian Government Department of Agriculture, Fisheries and Forestry</w:t>
            </w:r>
          </w:p>
          <w:p w:rsidR="004A19AF" w:rsidRPr="003C63F2" w:rsidP="003C63F2" w14:paraId="06956225" w14:textId="77777777">
            <w:r w:rsidRPr="003C63F2">
              <w:t>GPO Box 858</w:t>
            </w:r>
          </w:p>
          <w:p w:rsidR="004A19AF" w:rsidRPr="003C63F2" w:rsidP="003C63F2" w14:paraId="2BE2DFBD" w14:textId="77777777">
            <w:r w:rsidRPr="003C63F2">
              <w:t>Canberra ACT 2601</w:t>
            </w:r>
          </w:p>
          <w:p w:rsidR="004A19AF" w:rsidRPr="003C63F2" w:rsidP="003C63F2" w14:paraId="39AE2C45" w14:textId="77777777">
            <w:r w:rsidRPr="003C63F2">
              <w:t>Tel: +(61) 2 6272 3933</w:t>
            </w:r>
          </w:p>
          <w:p w:rsidR="004A19AF" w:rsidRPr="003C63F2" w:rsidP="003C63F2" w14:paraId="69E51CC2" w14:textId="77777777">
            <w:r w:rsidRPr="003C63F2">
              <w:t xml:space="preserve">E-mail: </w:t>
            </w:r>
            <w:hyperlink r:id="rId9" w:history="1">
              <w:r w:rsidRPr="003C63F2">
                <w:rPr>
                  <w:color w:val="0000FF"/>
                  <w:u w:val="single"/>
                </w:rPr>
                <w:t>sps.contact@aff.gov.au</w:t>
              </w:r>
            </w:hyperlink>
          </w:p>
          <w:p w:rsidR="004A19AF" w:rsidRPr="003C63F2" w:rsidP="003C63F2" w14:paraId="158D1DCA" w14:textId="77777777">
            <w:pPr>
              <w:spacing w:after="240"/>
            </w:pPr>
            <w:r w:rsidRPr="003C63F2">
              <w:t xml:space="preserve">Website: </w:t>
            </w:r>
            <w:hyperlink r:id="rId10" w:history="1">
              <w:r w:rsidRPr="003C63F2">
                <w:rPr>
                  <w:color w:val="0000FF"/>
                  <w:u w:val="single"/>
                </w:rPr>
                <w:t>http://www.agriculture.gov.au</w:t>
              </w:r>
            </w:hyperlink>
          </w:p>
        </w:tc>
      </w:tr>
      <w:tr w14:paraId="4473DBFC" w14:textId="77777777" w:rsidTr="00C9391C">
        <w:tblPrEx>
          <w:tblW w:w="0" w:type="auto"/>
          <w:tblLayout w:type="fixed"/>
          <w:tblLook w:val="01E0"/>
        </w:tblPrEx>
        <w:tc>
          <w:tcPr>
            <w:tcW w:w="9242" w:type="dxa"/>
          </w:tcPr>
          <w:p w:rsidR="004A19AF" w:rsidRPr="003C63F2" w:rsidP="003C63F2" w14:paraId="1813A37E" w14:textId="77777777">
            <w:pPr>
              <w:spacing w:after="240"/>
              <w:rPr>
                <w:b/>
              </w:rPr>
            </w:pPr>
            <w:r w:rsidRPr="003C63F2">
              <w:rPr>
                <w:b/>
              </w:rPr>
              <w:t>Text</w:t>
            </w:r>
            <w:r w:rsidRPr="003C63F2" w:rsidR="006D1A59">
              <w:rPr>
                <w:b/>
              </w:rPr>
              <w:t>(s)</w:t>
            </w:r>
            <w:r w:rsidRPr="003C63F2">
              <w:rPr>
                <w:b/>
              </w:rPr>
              <w:t xml:space="preserve"> available from: [</w:t>
            </w:r>
            <w:r w:rsidRPr="00D01D72">
              <w:rPr>
                <w:b/>
                <w:bCs/>
              </w:rPr>
              <w:t>X</w:t>
            </w:r>
            <w:r w:rsidRPr="003C63F2">
              <w:rPr>
                <w:b/>
              </w:rPr>
              <w:t>] National Notification Authority, [X] National Enquiry Point. Address, fax number and e-mail address (if available) of other body:</w:t>
            </w:r>
          </w:p>
        </w:tc>
      </w:tr>
      <w:tr w14:paraId="26538882" w14:textId="77777777" w:rsidTr="00C9391C">
        <w:tblPrEx>
          <w:tblW w:w="0" w:type="auto"/>
          <w:tblLayout w:type="fixed"/>
          <w:tblLook w:val="01E0"/>
        </w:tblPrEx>
        <w:tc>
          <w:tcPr>
            <w:tcW w:w="9242" w:type="dxa"/>
          </w:tcPr>
          <w:p w:rsidR="004A19AF" w:rsidRPr="003C63F2" w:rsidP="003C63F2" w14:paraId="2BCB29C4" w14:textId="77777777">
            <w:r w:rsidRPr="003C63F2">
              <w:t>Australian Government Department of Agriculture, Fisheries and Forestry</w:t>
            </w:r>
          </w:p>
          <w:p w:rsidR="004A19AF" w:rsidRPr="003C63F2" w:rsidP="003C63F2" w14:paraId="2C0E082A" w14:textId="77777777">
            <w:r w:rsidRPr="003C63F2">
              <w:t>GPO Box 858</w:t>
            </w:r>
          </w:p>
          <w:p w:rsidR="004A19AF" w:rsidRPr="003C63F2" w:rsidP="003C63F2" w14:paraId="315C036F" w14:textId="77777777">
            <w:r w:rsidRPr="003C63F2">
              <w:t>Canberra ACT 2601</w:t>
            </w:r>
          </w:p>
          <w:p w:rsidR="004A19AF" w:rsidRPr="003C63F2" w:rsidP="003C63F2" w14:paraId="31FC7A70" w14:textId="77777777">
            <w:r w:rsidRPr="003C63F2">
              <w:t>Tel: +(61) 2 6272 3933</w:t>
            </w:r>
          </w:p>
          <w:p w:rsidR="004A19AF" w:rsidRPr="003C63F2" w:rsidP="003C63F2" w14:paraId="3DF1EE9C" w14:textId="77777777">
            <w:r w:rsidRPr="003C63F2">
              <w:t xml:space="preserve">E-mail: </w:t>
            </w:r>
            <w:hyperlink r:id="rId9" w:history="1">
              <w:r w:rsidRPr="003C63F2">
                <w:rPr>
                  <w:color w:val="0000FF"/>
                  <w:u w:val="single"/>
                </w:rPr>
                <w:t>sps.contact@aff.gov.au</w:t>
              </w:r>
            </w:hyperlink>
          </w:p>
          <w:p w:rsidR="004A19AF" w:rsidRPr="003C63F2" w:rsidP="003C63F2" w14:paraId="055B9AEF" w14:textId="77777777">
            <w:r w:rsidRPr="003C63F2">
              <w:t xml:space="preserve">Website: </w:t>
            </w:r>
            <w:hyperlink r:id="rId10" w:history="1">
              <w:r w:rsidRPr="003C63F2">
                <w:rPr>
                  <w:color w:val="0000FF"/>
                  <w:u w:val="single"/>
                </w:rPr>
                <w:t>http://www.agriculture.gov.au</w:t>
              </w:r>
            </w:hyperlink>
          </w:p>
        </w:tc>
      </w:tr>
    </w:tbl>
    <w:p w:rsidR="004A19AF" w:rsidRPr="003C63F2" w:rsidP="003C63F2" w14:paraId="6DA8BA37" w14:textId="77777777"/>
    <w:p w:rsidR="00CD1985" w:rsidRPr="003C63F2" w:rsidP="003C63F2" w14:paraId="7CFCCBC2" w14:textId="77777777">
      <w:pPr>
        <w:jc w:val="center"/>
        <w:rPr>
          <w:b/>
        </w:rPr>
      </w:pPr>
      <w:r w:rsidRPr="003C63F2">
        <w:rPr>
          <w:b/>
        </w:rPr>
        <w:t>__________</w:t>
      </w:r>
    </w:p>
    <w:sectPr w:rsidSect="00D01D72">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D01D72" w:rsidP="00D01D72" w14:paraId="474166CA" w14:textId="7550C81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D01D72" w:rsidP="00D01D72" w14:paraId="33D00317" w14:textId="73BC23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37179CC"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D72" w:rsidRPr="00D01D72" w:rsidP="00D01D72" w14:paraId="02BD0CA0" w14:textId="77777777">
    <w:pPr>
      <w:pStyle w:val="Header"/>
      <w:pBdr>
        <w:bottom w:val="single" w:sz="4" w:space="1" w:color="auto"/>
      </w:pBdr>
      <w:tabs>
        <w:tab w:val="clear" w:pos="4513"/>
        <w:tab w:val="clear" w:pos="9027"/>
      </w:tabs>
      <w:jc w:val="center"/>
    </w:pPr>
    <w:r w:rsidRPr="00D01D72">
      <w:t>G/SPS/N/AUS/502/Add.22</w:t>
    </w:r>
  </w:p>
  <w:p w:rsidR="00D01D72" w:rsidRPr="00D01D72" w:rsidP="00D01D72" w14:paraId="179FB167" w14:textId="77777777">
    <w:pPr>
      <w:pStyle w:val="Header"/>
      <w:pBdr>
        <w:bottom w:val="single" w:sz="4" w:space="1" w:color="auto"/>
      </w:pBdr>
      <w:tabs>
        <w:tab w:val="clear" w:pos="4513"/>
        <w:tab w:val="clear" w:pos="9027"/>
      </w:tabs>
      <w:jc w:val="center"/>
    </w:pPr>
  </w:p>
  <w:p w:rsidR="00D01D72" w:rsidRPr="00D01D72" w:rsidP="00D01D72" w14:paraId="0587C498" w14:textId="299A1837">
    <w:pPr>
      <w:pStyle w:val="Header"/>
      <w:pBdr>
        <w:bottom w:val="single" w:sz="4" w:space="1" w:color="auto"/>
      </w:pBdr>
      <w:tabs>
        <w:tab w:val="clear" w:pos="4513"/>
        <w:tab w:val="clear" w:pos="9027"/>
      </w:tabs>
      <w:jc w:val="center"/>
    </w:pPr>
    <w:r w:rsidRPr="00D01D72">
      <w:t xml:space="preserve">- </w:t>
    </w:r>
    <w:r w:rsidRPr="00D01D72">
      <w:fldChar w:fldCharType="begin"/>
    </w:r>
    <w:r w:rsidRPr="00D01D72">
      <w:instrText xml:space="preserve"> PAGE </w:instrText>
    </w:r>
    <w:r w:rsidRPr="00D01D72">
      <w:fldChar w:fldCharType="separate"/>
    </w:r>
    <w:r w:rsidRPr="00D01D72">
      <w:t>2</w:t>
    </w:r>
    <w:r w:rsidRPr="00D01D72">
      <w:fldChar w:fldCharType="end"/>
    </w:r>
    <w:r w:rsidRPr="00D01D72">
      <w:t xml:space="preserve"> -</w:t>
    </w:r>
  </w:p>
  <w:p w:rsidR="004A19AF" w:rsidRPr="00D01D72" w:rsidP="00D01D72" w14:paraId="720F4C1C" w14:textId="6A060F5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D72" w:rsidRPr="00D01D72" w:rsidP="00D01D72" w14:paraId="300E1BC3" w14:textId="77777777">
    <w:pPr>
      <w:pStyle w:val="Header"/>
      <w:pBdr>
        <w:bottom w:val="single" w:sz="4" w:space="1" w:color="auto"/>
      </w:pBdr>
      <w:tabs>
        <w:tab w:val="clear" w:pos="4513"/>
        <w:tab w:val="clear" w:pos="9027"/>
      </w:tabs>
      <w:jc w:val="center"/>
    </w:pPr>
    <w:r w:rsidRPr="00D01D72">
      <w:t>G/SPS/N/AUS/502/Add.22</w:t>
    </w:r>
  </w:p>
  <w:p w:rsidR="00D01D72" w:rsidRPr="00D01D72" w:rsidP="00D01D72" w14:paraId="7DB6D493" w14:textId="77777777">
    <w:pPr>
      <w:pStyle w:val="Header"/>
      <w:pBdr>
        <w:bottom w:val="single" w:sz="4" w:space="1" w:color="auto"/>
      </w:pBdr>
      <w:tabs>
        <w:tab w:val="clear" w:pos="4513"/>
        <w:tab w:val="clear" w:pos="9027"/>
      </w:tabs>
      <w:jc w:val="center"/>
    </w:pPr>
  </w:p>
  <w:p w:rsidR="00D01D72" w:rsidRPr="00D01D72" w:rsidP="00D01D72" w14:paraId="4C5E2468" w14:textId="284BC44F">
    <w:pPr>
      <w:pStyle w:val="Header"/>
      <w:pBdr>
        <w:bottom w:val="single" w:sz="4" w:space="1" w:color="auto"/>
      </w:pBdr>
      <w:tabs>
        <w:tab w:val="clear" w:pos="4513"/>
        <w:tab w:val="clear" w:pos="9027"/>
      </w:tabs>
      <w:jc w:val="center"/>
    </w:pPr>
    <w:r w:rsidRPr="00D01D72">
      <w:t xml:space="preserve">- </w:t>
    </w:r>
    <w:r w:rsidRPr="00D01D72">
      <w:fldChar w:fldCharType="begin"/>
    </w:r>
    <w:r w:rsidRPr="00D01D72">
      <w:instrText xml:space="preserve"> PAGE </w:instrText>
    </w:r>
    <w:r w:rsidRPr="00D01D72">
      <w:fldChar w:fldCharType="separate"/>
    </w:r>
    <w:r w:rsidRPr="00D01D72">
      <w:rPr>
        <w:noProof/>
      </w:rPr>
      <w:t>2</w:t>
    </w:r>
    <w:r w:rsidRPr="00D01D72">
      <w:fldChar w:fldCharType="end"/>
    </w:r>
    <w:r w:rsidRPr="00D01D72">
      <w:t xml:space="preserve"> -</w:t>
    </w:r>
  </w:p>
  <w:p w:rsidR="004A19AF" w:rsidRPr="00D01D72" w:rsidP="00D01D72" w14:paraId="2828CB3C" w14:textId="3718C5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DEFAB0"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539703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792FC1F" w14:textId="7ECE38A8">
          <w:pPr>
            <w:jc w:val="right"/>
            <w:rPr>
              <w:b/>
              <w:color w:val="FF0000"/>
              <w:szCs w:val="16"/>
            </w:rPr>
          </w:pPr>
          <w:r>
            <w:rPr>
              <w:b/>
              <w:color w:val="FF0000"/>
              <w:szCs w:val="16"/>
            </w:rPr>
            <w:t xml:space="preserve"> </w:t>
          </w:r>
        </w:p>
      </w:tc>
    </w:tr>
    <w:bookmarkEnd w:id="0"/>
    <w:tr w14:paraId="135D0693"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144327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04FE050" w14:textId="77777777">
          <w:pPr>
            <w:jc w:val="right"/>
            <w:rPr>
              <w:b/>
              <w:szCs w:val="16"/>
            </w:rPr>
          </w:pPr>
        </w:p>
      </w:tc>
    </w:tr>
    <w:tr w14:paraId="5129E29F"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2D20101" w14:textId="77777777">
          <w:pPr>
            <w:jc w:val="left"/>
            <w:rPr>
              <w:noProof/>
              <w:lang w:eastAsia="en-GB"/>
            </w:rPr>
          </w:pPr>
        </w:p>
      </w:tc>
      <w:tc>
        <w:tcPr>
          <w:tcW w:w="5448" w:type="dxa"/>
          <w:gridSpan w:val="2"/>
          <w:shd w:val="clear" w:color="auto" w:fill="FFFFFF"/>
          <w:tcMar>
            <w:left w:w="108" w:type="dxa"/>
            <w:right w:w="108" w:type="dxa"/>
          </w:tcMar>
        </w:tcPr>
        <w:p w:rsidR="00D01D72" w:rsidP="009042DF" w14:paraId="768BD785" w14:textId="77777777">
          <w:pPr>
            <w:jc w:val="right"/>
            <w:rPr>
              <w:b/>
              <w:szCs w:val="16"/>
            </w:rPr>
          </w:pPr>
          <w:bookmarkStart w:id="1" w:name="bmkSymbols"/>
          <w:r>
            <w:rPr>
              <w:b/>
              <w:szCs w:val="16"/>
            </w:rPr>
            <w:t>G/SPS/N/AUS/502/Add.22</w:t>
          </w:r>
        </w:p>
        <w:bookmarkEnd w:id="1"/>
        <w:p w:rsidR="00ED54E0" w:rsidRPr="003C63F2" w:rsidP="009042DF" w14:paraId="7D7D7622" w14:textId="3CAA9110">
          <w:pPr>
            <w:jc w:val="right"/>
            <w:rPr>
              <w:b/>
              <w:szCs w:val="16"/>
            </w:rPr>
          </w:pPr>
        </w:p>
      </w:tc>
    </w:tr>
    <w:tr w14:paraId="14A31055"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EE7D9BC" w14:textId="77777777"/>
      </w:tc>
      <w:tc>
        <w:tcPr>
          <w:tcW w:w="5448" w:type="dxa"/>
          <w:gridSpan w:val="2"/>
          <w:shd w:val="clear" w:color="auto" w:fill="FFFFFF"/>
          <w:tcMar>
            <w:left w:w="108" w:type="dxa"/>
            <w:right w:w="108" w:type="dxa"/>
          </w:tcMar>
          <w:vAlign w:val="center"/>
        </w:tcPr>
        <w:p w:rsidR="00ED54E0" w:rsidRPr="004A19AF" w:rsidP="00C10B2E" w14:paraId="2F98D152" w14:textId="77777777">
          <w:pPr>
            <w:jc w:val="right"/>
            <w:rPr>
              <w:szCs w:val="16"/>
            </w:rPr>
          </w:pPr>
          <w:bookmarkStart w:id="2" w:name="bmkDate"/>
          <w:bookmarkStart w:id="3" w:name="spsDateDistribution"/>
          <w:r w:rsidRPr="004A19AF">
            <w:rPr>
              <w:szCs w:val="16"/>
            </w:rPr>
            <w:t>26 August 2025</w:t>
          </w:r>
          <w:bookmarkEnd w:id="2"/>
          <w:bookmarkEnd w:id="3"/>
        </w:p>
      </w:tc>
    </w:tr>
    <w:tr w14:paraId="55DC15EF"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4EB642AD" w14:textId="77777777">
          <w:pPr>
            <w:jc w:val="left"/>
            <w:rPr>
              <w:b/>
            </w:rPr>
          </w:pPr>
          <w:bookmarkStart w:id="4" w:name="bmkSerial"/>
          <w:r>
            <w:rPr>
              <w:b w:val="0"/>
              <w:color w:val="FF0000"/>
            </w:rPr>
            <w:t>(25-5310)</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128D0B9"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30947780"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7424BA9" w14:textId="01488A9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455D8A6E" w14:textId="2A78224D">
          <w:pPr>
            <w:jc w:val="right"/>
            <w:rPr>
              <w:bCs/>
              <w:szCs w:val="18"/>
            </w:rPr>
          </w:pPr>
          <w:bookmarkStart w:id="7" w:name="bmkLanguage"/>
          <w:r>
            <w:rPr>
              <w:bCs/>
              <w:szCs w:val="18"/>
            </w:rPr>
            <w:t>Original: English</w:t>
          </w:r>
          <w:bookmarkEnd w:id="7"/>
        </w:p>
      </w:tc>
    </w:tr>
  </w:tbl>
  <w:p w:rsidR="00ED54E0" w:rsidRPr="003C63F2" w14:paraId="4AB945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A0F4861"/>
    <w:multiLevelType w:val="hybridMultilevel"/>
    <w:tmpl w:val="01AC81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0255BA7"/>
    <w:multiLevelType w:val="hybridMultilevel"/>
    <w:tmpl w:val="3F5E885E"/>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A6EE6510"/>
    <w:numStyleLink w:val="LegalHeadings"/>
  </w:abstractNum>
  <w:abstractNum w:abstractNumId="14">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15186421">
    <w:abstractNumId w:val="9"/>
  </w:num>
  <w:num w:numId="2" w16cid:durableId="1976056748">
    <w:abstractNumId w:val="7"/>
  </w:num>
  <w:num w:numId="3" w16cid:durableId="1552375630">
    <w:abstractNumId w:val="6"/>
  </w:num>
  <w:num w:numId="4" w16cid:durableId="874318620">
    <w:abstractNumId w:val="5"/>
  </w:num>
  <w:num w:numId="5" w16cid:durableId="603077625">
    <w:abstractNumId w:val="4"/>
  </w:num>
  <w:num w:numId="6" w16cid:durableId="1970932236">
    <w:abstractNumId w:val="14"/>
  </w:num>
  <w:num w:numId="7" w16cid:durableId="290287551">
    <w:abstractNumId w:val="13"/>
  </w:num>
  <w:num w:numId="8" w16cid:durableId="299189690">
    <w:abstractNumId w:val="12"/>
  </w:num>
  <w:num w:numId="9" w16cid:durableId="1668244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0786885">
    <w:abstractNumId w:val="15"/>
  </w:num>
  <w:num w:numId="11" w16cid:durableId="392235576">
    <w:abstractNumId w:val="8"/>
  </w:num>
  <w:num w:numId="12" w16cid:durableId="1018120590">
    <w:abstractNumId w:val="3"/>
  </w:num>
  <w:num w:numId="13" w16cid:durableId="827091069">
    <w:abstractNumId w:val="2"/>
  </w:num>
  <w:num w:numId="14" w16cid:durableId="288897088">
    <w:abstractNumId w:val="1"/>
  </w:num>
  <w:num w:numId="15" w16cid:durableId="2064138959">
    <w:abstractNumId w:val="0"/>
  </w:num>
  <w:num w:numId="16" w16cid:durableId="1369379160">
    <w:abstractNumId w:val="16"/>
  </w:num>
  <w:num w:numId="17" w16cid:durableId="318772422">
    <w:abstractNumId w:val="10"/>
  </w:num>
  <w:num w:numId="18" w16cid:durableId="2014067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1040"/>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80BA1"/>
    <w:rsid w:val="00C9391C"/>
    <w:rsid w:val="00CD1985"/>
    <w:rsid w:val="00CD4E37"/>
    <w:rsid w:val="00CD7D97"/>
    <w:rsid w:val="00CE3EE6"/>
    <w:rsid w:val="00CE4BA1"/>
    <w:rsid w:val="00CE6EA9"/>
    <w:rsid w:val="00D000C7"/>
    <w:rsid w:val="00D01D72"/>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DE59E0"/>
  <w15:docId w15:val="{466446BB-195D-4622-B16B-D4F2876D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griculture.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pingalert.org/en/Search?hsCodes=37469&amp;countryIds=C036&amp;viewData=%20G%2FSPS%2FN%2FAUS%2F502%2FAdd.18" TargetMode="External" /><Relationship Id="rId5" Type="http://schemas.openxmlformats.org/officeDocument/2006/relationships/hyperlink" Target="https://www.agriculture.gov.au/biosecurity-trade/pests-diseases-weeds/plant/identify/khapra-beetle/urgent-actions" TargetMode="External" /><Relationship Id="rId6" Type="http://schemas.openxmlformats.org/officeDocument/2006/relationships/hyperlink" Target="https://www.agriculture.gov.au/biosecurity-trade/policy/risk-analysis/plant/khapra-pest-risk-analysis" TargetMode="External" /><Relationship Id="rId7" Type="http://schemas.openxmlformats.org/officeDocument/2006/relationships/hyperlink" Target="https://www.agriculture.gov.au/biosecurity-trade/pests-diseases-weeds/plant/identify/khapra-beetle/plant-products" TargetMode="External" /><Relationship Id="rId8" Type="http://schemas.openxmlformats.org/officeDocument/2006/relationships/hyperlink" Target="https://www.agriculture.gov.au/biosecurity-trade/pests-diseases-weeds/plant/identify/khapra-beetle/sea-container-measures" TargetMode="External" /><Relationship Id="rId9" Type="http://schemas.openxmlformats.org/officeDocument/2006/relationships/hyperlink" Target="mailto:sps.contact@aff.gov.au%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2025-08-26T07:16:00Z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G/SPS/N/AUS/502/Add.22</vt:lpwstr>
  </property>
</Properties>
</file>