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C0ECD52" w14:textId="77777777">
      <w:pPr>
        <w:pStyle w:val="Title"/>
        <w:rPr>
          <w:caps w:val="0"/>
          <w:kern w:val="0"/>
        </w:rPr>
      </w:pPr>
      <w:r w:rsidRPr="008179F6">
        <w:rPr>
          <w:caps w:val="0"/>
          <w:kern w:val="0"/>
        </w:rPr>
        <w:t>NOTIFICACIÓN</w:t>
      </w:r>
    </w:p>
    <w:p w:rsidR="00730687" w:rsidRPr="008179F6" w:rsidP="008179F6" w14:paraId="5EE7CB88" w14:textId="77777777">
      <w:pPr>
        <w:pStyle w:val="Title3"/>
      </w:pPr>
      <w:r w:rsidRPr="008179F6">
        <w:t>Addendum</w:t>
      </w:r>
    </w:p>
    <w:p w:rsidR="00337700" w:rsidRPr="008179F6" w:rsidP="008179F6" w14:paraId="7D780D46" w14:textId="77777777">
      <w:r w:rsidRPr="008179F6">
        <w:t xml:space="preserve">La siguiente comunicación, recibida el 16 de mayo de 2025, se distribuye a petición de la Delegación de </w:t>
      </w:r>
      <w:r w:rsidRPr="008179F6">
        <w:rPr>
          <w:u w:val="single"/>
        </w:rPr>
        <w:t>Perú</w:t>
      </w:r>
      <w:r w:rsidRPr="008179F6">
        <w:t>.</w:t>
      </w:r>
    </w:p>
    <w:p w:rsidR="00730687" w:rsidRPr="008179F6" w:rsidP="008179F6" w14:paraId="01A233B7" w14:textId="77777777"/>
    <w:p w:rsidR="00730687" w:rsidRPr="008179F6" w:rsidP="008179F6" w14:paraId="46A69B91" w14:textId="77777777">
      <w:pPr>
        <w:jc w:val="center"/>
        <w:rPr>
          <w:b/>
        </w:rPr>
      </w:pPr>
      <w:r w:rsidRPr="008179F6">
        <w:rPr>
          <w:b/>
        </w:rPr>
        <w:t>_______________</w:t>
      </w:r>
    </w:p>
    <w:p w:rsidR="00730687" w:rsidRPr="008179F6" w:rsidP="008179F6" w14:paraId="00AAEA57" w14:textId="77777777"/>
    <w:p w:rsidR="00730687" w:rsidRPr="008179F6" w:rsidP="008179F6" w14:paraId="37ECB052" w14:textId="77777777"/>
    <w:tbl>
      <w:tblPr>
        <w:tblW w:w="9242" w:type="dxa"/>
        <w:tblLayout w:type="fixed"/>
        <w:tblCellMar>
          <w:left w:w="0" w:type="dxa"/>
          <w:right w:w="115" w:type="dxa"/>
        </w:tblCellMar>
        <w:tblLook w:val="01E0"/>
      </w:tblPr>
      <w:tblGrid>
        <w:gridCol w:w="9242"/>
      </w:tblGrid>
      <w:tr w14:paraId="2544A45E" w14:textId="77777777" w:rsidTr="00085CD0">
        <w:tblPrEx>
          <w:tblW w:w="9242" w:type="dxa"/>
          <w:tblLayout w:type="fixed"/>
          <w:tblLook w:val="01E0"/>
        </w:tblPrEx>
        <w:tc>
          <w:tcPr>
            <w:tcW w:w="9242" w:type="dxa"/>
            <w:shd w:val="clear" w:color="auto" w:fill="auto"/>
          </w:tcPr>
          <w:p w:rsidR="00730687" w:rsidRPr="008179F6" w:rsidP="008179F6" w14:paraId="0E3513C8" w14:textId="61E52ECA">
            <w:pPr>
              <w:spacing w:after="240"/>
              <w:rPr>
                <w:u w:val="single"/>
              </w:rPr>
            </w:pPr>
            <w:r w:rsidRPr="008179F6">
              <w:rPr>
                <w:u w:val="single"/>
              </w:rPr>
              <w:t xml:space="preserve">Decreto Supremo No 005-2025-PRODUCE "Decreto Supremo que modifica diversos artículos y anexos, e incorpora disposiciones en el Reglamento Sectorial de Inocuidad para las Actividades Pesqueras y Acuícolas, aprobado por el Decreto </w:t>
            </w:r>
            <w:r w:rsidRPr="00171535">
              <w:rPr>
                <w:u w:val="single"/>
              </w:rPr>
              <w:t>Supremo</w:t>
            </w:r>
            <w:r w:rsidRPr="00171535" w:rsidR="00183FF2">
              <w:rPr>
                <w:u w:val="single"/>
              </w:rPr>
              <w:t xml:space="preserve"> No 020-2022-PRODUCE</w:t>
            </w:r>
            <w:r w:rsidRPr="008179F6">
              <w:rPr>
                <w:u w:val="single"/>
              </w:rPr>
              <w:t>"</w:t>
            </w:r>
          </w:p>
        </w:tc>
      </w:tr>
      <w:tr w14:paraId="770CB9E6" w14:textId="77777777" w:rsidTr="00085CD0">
        <w:tblPrEx>
          <w:tblW w:w="9242" w:type="dxa"/>
          <w:tblLayout w:type="fixed"/>
          <w:tblLook w:val="01E0"/>
        </w:tblPrEx>
        <w:tc>
          <w:tcPr>
            <w:tcW w:w="9242" w:type="dxa"/>
            <w:shd w:val="clear" w:color="auto" w:fill="auto"/>
          </w:tcPr>
          <w:p w:rsidR="00730687" w:rsidP="008179F6" w14:paraId="55627347" w14:textId="6DF50D9B">
            <w:pPr>
              <w:spacing w:after="240"/>
            </w:pPr>
            <w:r>
              <w:t>La Autoridad Nacional de Sanidad e Inocuidad en Pesca y Acuicultura (SANIPES) comunica que, el</w:t>
            </w:r>
            <w:r w:rsidR="003B5B94">
              <w:t> </w:t>
            </w:r>
            <w:r>
              <w:t>12</w:t>
            </w:r>
            <w:r w:rsidR="003B5B94">
              <w:t> </w:t>
            </w:r>
            <w:r>
              <w:t>de abril de 2025 fue publicado en el diario oficial "El Peruano", el Decreto Supremo No 005-2025-PRODUCE "Decreto Supremo que modifica diversos artículos y anexos, e incorpora disposiciones en el Reglamento Sectorial de Inocuidad para las Actividades Pesqueras y Acuícolas, aprobado por el Decreto Supremo</w:t>
            </w:r>
            <w:r w:rsidR="003B5B94">
              <w:t xml:space="preserve"> No 020-2022-PRODUCE</w:t>
            </w:r>
            <w:r>
              <w:t>".</w:t>
            </w:r>
          </w:p>
          <w:p w:rsidR="00171535" w:rsidP="00171535" w14:paraId="2D2D099C" w14:textId="6ED5A15E">
            <w:r w:rsidRPr="008179F6">
              <w:t>El Decreto Supremo notificado entrará en vigor a los ciento ochenta días calendario contados a partir del día siguiente de su publicación en el diario oficial "El Peruano" (10 de octubre de 2025). El texto de la norma puede ser consultado en el siguiente enlace:</w:t>
            </w:r>
          </w:p>
          <w:p w:rsidR="006C42DF" w:rsidP="00171535" w14:paraId="3CED4F6C" w14:textId="7884980A">
            <w:pPr>
              <w:spacing w:after="240"/>
            </w:pPr>
            <w:hyperlink r:id="rId4" w:history="1">
              <w:r w:rsidRPr="001C2CC7">
                <w:rPr>
                  <w:rStyle w:val="Hyperlink"/>
                </w:rPr>
                <w:t>https://www.gob.pe/institucion/produce/normas-legales/6668433-005-2025-produce</w:t>
              </w:r>
            </w:hyperlink>
            <w:r w:rsidR="0061566C">
              <w:t>.</w:t>
            </w:r>
          </w:p>
        </w:tc>
      </w:tr>
      <w:tr w14:paraId="68E14009" w14:textId="77777777" w:rsidTr="00085CD0">
        <w:tblPrEx>
          <w:tblW w:w="9242" w:type="dxa"/>
          <w:tblLayout w:type="fixed"/>
          <w:tblLook w:val="01E0"/>
        </w:tblPrEx>
        <w:tc>
          <w:tcPr>
            <w:tcW w:w="9242" w:type="dxa"/>
            <w:shd w:val="clear" w:color="auto" w:fill="auto"/>
          </w:tcPr>
          <w:p w:rsidR="00730687" w:rsidRPr="008179F6" w:rsidP="008179F6" w14:paraId="3E449A53" w14:textId="77777777">
            <w:pPr>
              <w:spacing w:after="240"/>
              <w:rPr>
                <w:b/>
              </w:rPr>
            </w:pPr>
            <w:r w:rsidRPr="008179F6">
              <w:rPr>
                <w:b/>
              </w:rPr>
              <w:t>Este addendum se refiere a:</w:t>
            </w:r>
          </w:p>
        </w:tc>
      </w:tr>
      <w:tr w14:paraId="73538366" w14:textId="77777777" w:rsidTr="00085CD0">
        <w:tblPrEx>
          <w:tblW w:w="9242" w:type="dxa"/>
          <w:tblLayout w:type="fixed"/>
          <w:tblLook w:val="01E0"/>
        </w:tblPrEx>
        <w:tc>
          <w:tcPr>
            <w:tcW w:w="9242" w:type="dxa"/>
            <w:shd w:val="clear" w:color="auto" w:fill="auto"/>
          </w:tcPr>
          <w:p w:rsidR="00730687" w:rsidRPr="008179F6" w:rsidP="008179F6" w14:paraId="246289F7"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406E925" w14:textId="77777777" w:rsidTr="00085CD0">
        <w:tblPrEx>
          <w:tblW w:w="9242" w:type="dxa"/>
          <w:tblLayout w:type="fixed"/>
          <w:tblLook w:val="01E0"/>
        </w:tblPrEx>
        <w:tc>
          <w:tcPr>
            <w:tcW w:w="9242" w:type="dxa"/>
            <w:shd w:val="clear" w:color="auto" w:fill="auto"/>
          </w:tcPr>
          <w:p w:rsidR="00730687" w:rsidRPr="008179F6" w:rsidP="008179F6" w14:paraId="65E4C282"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073A02C" w14:textId="77777777" w:rsidTr="00085CD0">
        <w:tblPrEx>
          <w:tblW w:w="9242" w:type="dxa"/>
          <w:tblLayout w:type="fixed"/>
          <w:tblLook w:val="01E0"/>
        </w:tblPrEx>
        <w:tc>
          <w:tcPr>
            <w:tcW w:w="9242" w:type="dxa"/>
            <w:shd w:val="clear" w:color="auto" w:fill="auto"/>
          </w:tcPr>
          <w:p w:rsidR="00730687" w:rsidRPr="008179F6" w:rsidP="008179F6" w14:paraId="682AE3D7" w14:textId="77777777">
            <w:pPr>
              <w:ind w:left="1440" w:hanging="873"/>
            </w:pPr>
            <w:r w:rsidRPr="008179F6">
              <w:t>[ ]</w:t>
            </w:r>
            <w:r w:rsidRPr="008179F6">
              <w:tab/>
              <w:t>la modificación del contenido y/o ámbito de aplicación de un proyecto de reglamento previamente notificado</w:t>
            </w:r>
          </w:p>
        </w:tc>
      </w:tr>
      <w:tr w14:paraId="3C77F6FD" w14:textId="77777777" w:rsidTr="00085CD0">
        <w:tblPrEx>
          <w:tblW w:w="9242" w:type="dxa"/>
          <w:tblLayout w:type="fixed"/>
          <w:tblLook w:val="01E0"/>
        </w:tblPrEx>
        <w:tc>
          <w:tcPr>
            <w:tcW w:w="9242" w:type="dxa"/>
            <w:shd w:val="clear" w:color="auto" w:fill="auto"/>
          </w:tcPr>
          <w:p w:rsidR="00730687" w:rsidRPr="008179F6" w:rsidP="008179F6" w14:paraId="7ED4957E" w14:textId="77777777">
            <w:pPr>
              <w:ind w:left="1440" w:hanging="873"/>
            </w:pPr>
            <w:r w:rsidRPr="008179F6">
              <w:t>[ ]</w:t>
            </w:r>
            <w:r w:rsidRPr="008179F6">
              <w:tab/>
              <w:t>el retiro del reglamento propuesto</w:t>
            </w:r>
          </w:p>
        </w:tc>
      </w:tr>
      <w:tr w14:paraId="18C82688" w14:textId="77777777" w:rsidTr="00085CD0">
        <w:tblPrEx>
          <w:tblW w:w="9242" w:type="dxa"/>
          <w:tblLayout w:type="fixed"/>
          <w:tblLook w:val="01E0"/>
        </w:tblPrEx>
        <w:tc>
          <w:tcPr>
            <w:tcW w:w="9242" w:type="dxa"/>
            <w:shd w:val="clear" w:color="auto" w:fill="auto"/>
          </w:tcPr>
          <w:p w:rsidR="00730687" w:rsidRPr="008179F6" w:rsidP="008179F6" w14:paraId="614B1742" w14:textId="77777777">
            <w:pPr>
              <w:ind w:left="1440" w:hanging="873"/>
            </w:pPr>
            <w:r w:rsidRPr="008179F6">
              <w:t>[ ]</w:t>
            </w:r>
            <w:r w:rsidRPr="008179F6">
              <w:tab/>
              <w:t xml:space="preserve">la modificación de la fecha propuesta de adopción, publicación o entrada en vigor </w:t>
            </w:r>
          </w:p>
        </w:tc>
      </w:tr>
      <w:tr w14:paraId="728707F6" w14:textId="77777777" w:rsidTr="00085CD0">
        <w:tblPrEx>
          <w:tblW w:w="9242" w:type="dxa"/>
          <w:tblLayout w:type="fixed"/>
          <w:tblLook w:val="01E0"/>
        </w:tblPrEx>
        <w:tc>
          <w:tcPr>
            <w:tcW w:w="9242" w:type="dxa"/>
            <w:shd w:val="clear" w:color="auto" w:fill="auto"/>
          </w:tcPr>
          <w:p w:rsidR="00730687" w:rsidRPr="008179F6" w:rsidP="008179F6" w14:paraId="517AE3EE" w14:textId="77777777">
            <w:pPr>
              <w:spacing w:after="240"/>
              <w:ind w:left="1440" w:hanging="873"/>
            </w:pPr>
            <w:r w:rsidRPr="008179F6">
              <w:t>[ ]</w:t>
            </w:r>
            <w:r w:rsidRPr="008179F6">
              <w:tab/>
              <w:t xml:space="preserve">otro aspecto: </w:t>
            </w:r>
          </w:p>
        </w:tc>
      </w:tr>
      <w:tr w14:paraId="35469CEE" w14:textId="77777777" w:rsidTr="00085CD0">
        <w:tblPrEx>
          <w:tblW w:w="9242" w:type="dxa"/>
          <w:tblLayout w:type="fixed"/>
          <w:tblLook w:val="01E0"/>
        </w:tblPrEx>
        <w:tc>
          <w:tcPr>
            <w:tcW w:w="9242" w:type="dxa"/>
            <w:shd w:val="clear" w:color="auto" w:fill="auto"/>
          </w:tcPr>
          <w:p w:rsidR="00730687" w:rsidRPr="008179F6" w:rsidP="008179F6" w14:paraId="414954CA"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F03A2C2" w14:textId="77777777" w:rsidTr="00085CD0">
        <w:tblPrEx>
          <w:tblW w:w="9242" w:type="dxa"/>
          <w:tblLayout w:type="fixed"/>
          <w:tblLook w:val="01E0"/>
        </w:tblPrEx>
        <w:tc>
          <w:tcPr>
            <w:tcW w:w="9242" w:type="dxa"/>
            <w:shd w:val="clear" w:color="auto" w:fill="auto"/>
          </w:tcPr>
          <w:p w:rsidR="00FA6B21" w:rsidRPr="008179F6" w:rsidP="00171535" w14:paraId="06380AD1" w14:textId="61E30321">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xml:space="preserve">: </w:t>
            </w:r>
            <w:r w:rsidR="00171535">
              <w:t>No se aplica.</w:t>
            </w:r>
          </w:p>
        </w:tc>
      </w:tr>
      <w:tr w14:paraId="26156287" w14:textId="77777777" w:rsidTr="00085CD0">
        <w:tblPrEx>
          <w:tblW w:w="9242" w:type="dxa"/>
          <w:tblLayout w:type="fixed"/>
          <w:tblLook w:val="01E0"/>
        </w:tblPrEx>
        <w:tc>
          <w:tcPr>
            <w:tcW w:w="9242" w:type="dxa"/>
            <w:shd w:val="clear" w:color="auto" w:fill="auto"/>
          </w:tcPr>
          <w:p w:rsidR="00730687" w:rsidRPr="008179F6" w:rsidP="008179F6" w14:paraId="3987B41C"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81641E9" w14:textId="77777777" w:rsidTr="00085CD0">
        <w:tblPrEx>
          <w:tblW w:w="9242" w:type="dxa"/>
          <w:tblLayout w:type="fixed"/>
          <w:tblLook w:val="01E0"/>
        </w:tblPrEx>
        <w:tc>
          <w:tcPr>
            <w:tcW w:w="9242" w:type="dxa"/>
            <w:shd w:val="clear" w:color="auto" w:fill="auto"/>
          </w:tcPr>
          <w:p w:rsidR="00730687" w:rsidRPr="008179F6" w:rsidP="008179F6" w14:paraId="1D718C0B" w14:textId="77777777">
            <w:pPr>
              <w:spacing w:after="240"/>
            </w:pPr>
          </w:p>
        </w:tc>
      </w:tr>
      <w:tr w14:paraId="78AE87BA" w14:textId="77777777" w:rsidTr="00085CD0">
        <w:tblPrEx>
          <w:tblW w:w="9242" w:type="dxa"/>
          <w:tblLayout w:type="fixed"/>
          <w:tblLook w:val="01E0"/>
        </w:tblPrEx>
        <w:tc>
          <w:tcPr>
            <w:tcW w:w="9242" w:type="dxa"/>
            <w:shd w:val="clear" w:color="auto" w:fill="auto"/>
          </w:tcPr>
          <w:p w:rsidR="00730687" w:rsidRPr="008179F6" w:rsidP="008179F6" w14:paraId="78EB5F28"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3B5B94">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CAAE2BD" w14:textId="77777777" w:rsidTr="00085CD0">
        <w:tblPrEx>
          <w:tblW w:w="9242" w:type="dxa"/>
          <w:tblLayout w:type="fixed"/>
          <w:tblLook w:val="01E0"/>
        </w:tblPrEx>
        <w:tc>
          <w:tcPr>
            <w:tcW w:w="9242" w:type="dxa"/>
            <w:shd w:val="clear" w:color="auto" w:fill="auto"/>
          </w:tcPr>
          <w:p w:rsidR="00730687" w:rsidRPr="008179F6" w:rsidP="008179F6" w14:paraId="5A99D0B2" w14:textId="77777777">
            <w:r w:rsidRPr="008179F6">
              <w:t>Muriel María Gómez Sánchez Orezzoli</w:t>
            </w:r>
          </w:p>
          <w:p w:rsidR="00730687" w:rsidRPr="008179F6" w:rsidP="008179F6" w14:paraId="59E82CAE" w14:textId="77777777">
            <w:r w:rsidRPr="008179F6">
              <w:t>Directora de Normatividad</w:t>
            </w:r>
          </w:p>
          <w:p w:rsidR="00730687" w:rsidRPr="008179F6" w:rsidP="008179F6" w14:paraId="3B06FE41" w14:textId="77777777">
            <w:r w:rsidRPr="008179F6">
              <w:t>Ca. Amador Merino Reyna 267 Piso 12, San Isidro, Lima, Perú</w:t>
            </w:r>
          </w:p>
          <w:p w:rsidR="00730687" w:rsidRPr="008179F6" w:rsidP="008179F6" w14:paraId="1654E4CC" w14:textId="77777777">
            <w:r w:rsidRPr="008179F6">
              <w:t>Cel: +(51) 987722030</w:t>
            </w:r>
          </w:p>
          <w:p w:rsidR="00730687" w:rsidRPr="008179F6" w:rsidP="003B5B94" w14:paraId="51DA3023" w14:textId="4290340D">
            <w:pPr>
              <w:tabs>
                <w:tab w:val="left" w:pos="1960"/>
              </w:tabs>
            </w:pPr>
            <w:r w:rsidRPr="008179F6">
              <w:t>Correos electrónicos:</w:t>
            </w:r>
            <w:r w:rsidR="003B5B94">
              <w:tab/>
            </w:r>
            <w:hyperlink r:id="rId5" w:history="1">
              <w:r w:rsidRPr="008179F6">
                <w:rPr>
                  <w:color w:val="0000FF"/>
                  <w:u w:val="single"/>
                </w:rPr>
                <w:t>muriel.gomez@sanipes.gob.pe</w:t>
              </w:r>
            </w:hyperlink>
          </w:p>
          <w:p w:rsidR="00730687" w:rsidRPr="008179F6" w:rsidP="003B5B94" w14:paraId="3A759A3D" w14:textId="1607F4F1">
            <w:pPr>
              <w:tabs>
                <w:tab w:val="left" w:pos="1960"/>
              </w:tabs>
            </w:pPr>
            <w:r>
              <w:tab/>
            </w:r>
            <w:hyperlink r:id="rId6" w:history="1">
              <w:r w:rsidRPr="00DE24B1" w:rsidR="00BB174D">
                <w:rPr>
                  <w:rStyle w:val="Hyperlink"/>
                </w:rPr>
                <w:t>notificacionesmsf@senasa.gob.pe</w:t>
              </w:r>
            </w:hyperlink>
          </w:p>
        </w:tc>
      </w:tr>
    </w:tbl>
    <w:p w:rsidR="00293E6A" w:rsidRPr="008179F6" w:rsidP="008179F6" w14:paraId="52C93890" w14:textId="77777777"/>
    <w:p w:rsidR="00293E6A" w:rsidRPr="008179F6" w:rsidP="008179F6" w14:paraId="0C8BC63B" w14:textId="77777777">
      <w:pPr>
        <w:jc w:val="center"/>
        <w:rPr>
          <w:b/>
        </w:rPr>
      </w:pPr>
      <w:r w:rsidRPr="008179F6">
        <w:rPr>
          <w:b/>
        </w:rPr>
        <w:t>__________</w:t>
      </w:r>
    </w:p>
    <w:sectPr w:rsidSect="003B5B9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B5B94" w:rsidP="003B5B94" w14:paraId="42840D7B" w14:textId="47FC560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B5B94" w:rsidP="003B5B94" w14:paraId="033BF174" w14:textId="384DCC5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095E530"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B94" w:rsidRPr="003B5B94" w:rsidP="003B5B94" w14:paraId="674A68E1" w14:textId="77777777">
    <w:pPr>
      <w:pStyle w:val="Header"/>
      <w:pBdr>
        <w:bottom w:val="single" w:sz="4" w:space="1" w:color="auto"/>
      </w:pBdr>
      <w:tabs>
        <w:tab w:val="clear" w:pos="4513"/>
        <w:tab w:val="clear" w:pos="9027"/>
      </w:tabs>
      <w:jc w:val="center"/>
      <w:rPr>
        <w:lang w:val="en-GB"/>
      </w:rPr>
    </w:pPr>
    <w:r w:rsidRPr="003B5B94">
      <w:rPr>
        <w:lang w:val="en-GB"/>
      </w:rPr>
      <w:t>G/SPS/N/PER/1062/Add.1</w:t>
    </w:r>
  </w:p>
  <w:p w:rsidR="003B5B94" w:rsidRPr="003B5B94" w:rsidP="003B5B94" w14:paraId="0AA6B0CE" w14:textId="77777777">
    <w:pPr>
      <w:pStyle w:val="Header"/>
      <w:pBdr>
        <w:bottom w:val="single" w:sz="4" w:space="1" w:color="auto"/>
      </w:pBdr>
      <w:tabs>
        <w:tab w:val="clear" w:pos="4513"/>
        <w:tab w:val="clear" w:pos="9027"/>
      </w:tabs>
      <w:jc w:val="center"/>
      <w:rPr>
        <w:lang w:val="en-GB"/>
      </w:rPr>
    </w:pPr>
  </w:p>
  <w:p w:rsidR="003B5B94" w:rsidRPr="003B5B94" w:rsidP="003B5B94" w14:paraId="13646523" w14:textId="2CA680C4">
    <w:pPr>
      <w:pStyle w:val="Header"/>
      <w:pBdr>
        <w:bottom w:val="single" w:sz="4" w:space="1" w:color="auto"/>
      </w:pBdr>
      <w:tabs>
        <w:tab w:val="clear" w:pos="4513"/>
        <w:tab w:val="clear" w:pos="9027"/>
      </w:tabs>
      <w:jc w:val="center"/>
    </w:pPr>
    <w:r w:rsidRPr="003B5B94">
      <w:t xml:space="preserve">- </w:t>
    </w:r>
    <w:r w:rsidRPr="003B5B94">
      <w:fldChar w:fldCharType="begin"/>
    </w:r>
    <w:r w:rsidRPr="003B5B94">
      <w:instrText xml:space="preserve"> PAGE </w:instrText>
    </w:r>
    <w:r w:rsidRPr="003B5B94">
      <w:fldChar w:fldCharType="separate"/>
    </w:r>
    <w:r w:rsidRPr="003B5B94">
      <w:t>2</w:t>
    </w:r>
    <w:r w:rsidRPr="003B5B94">
      <w:fldChar w:fldCharType="end"/>
    </w:r>
    <w:r w:rsidRPr="003B5B94">
      <w:t xml:space="preserve"> -</w:t>
    </w:r>
  </w:p>
  <w:p w:rsidR="00730687" w:rsidRPr="003B5B94" w:rsidP="003B5B94" w14:paraId="6E209B07" w14:textId="33BA769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B94" w:rsidRPr="003B5B94" w:rsidP="003B5B94" w14:paraId="14C869AB" w14:textId="77777777">
    <w:pPr>
      <w:pStyle w:val="Header"/>
      <w:pBdr>
        <w:bottom w:val="single" w:sz="4" w:space="1" w:color="auto"/>
      </w:pBdr>
      <w:tabs>
        <w:tab w:val="clear" w:pos="4513"/>
        <w:tab w:val="clear" w:pos="9027"/>
      </w:tabs>
      <w:jc w:val="center"/>
      <w:rPr>
        <w:lang w:val="en-GB"/>
      </w:rPr>
    </w:pPr>
    <w:r w:rsidRPr="003B5B94">
      <w:rPr>
        <w:lang w:val="en-GB"/>
      </w:rPr>
      <w:t>G/SPS/N/PER/1062/Add.1</w:t>
    </w:r>
  </w:p>
  <w:p w:rsidR="003B5B94" w:rsidRPr="003B5B94" w:rsidP="003B5B94" w14:paraId="49469477" w14:textId="77777777">
    <w:pPr>
      <w:pStyle w:val="Header"/>
      <w:pBdr>
        <w:bottom w:val="single" w:sz="4" w:space="1" w:color="auto"/>
      </w:pBdr>
      <w:tabs>
        <w:tab w:val="clear" w:pos="4513"/>
        <w:tab w:val="clear" w:pos="9027"/>
      </w:tabs>
      <w:jc w:val="center"/>
      <w:rPr>
        <w:lang w:val="en-GB"/>
      </w:rPr>
    </w:pPr>
  </w:p>
  <w:p w:rsidR="003B5B94" w:rsidRPr="003B5B94" w:rsidP="003B5B94" w14:paraId="77CD2D95" w14:textId="678A8CC0">
    <w:pPr>
      <w:pStyle w:val="Header"/>
      <w:pBdr>
        <w:bottom w:val="single" w:sz="4" w:space="1" w:color="auto"/>
      </w:pBdr>
      <w:tabs>
        <w:tab w:val="clear" w:pos="4513"/>
        <w:tab w:val="clear" w:pos="9027"/>
      </w:tabs>
      <w:jc w:val="center"/>
    </w:pPr>
    <w:r w:rsidRPr="003B5B94">
      <w:t xml:space="preserve">- </w:t>
    </w:r>
    <w:r w:rsidRPr="003B5B94">
      <w:fldChar w:fldCharType="begin"/>
    </w:r>
    <w:r w:rsidRPr="003B5B94">
      <w:instrText xml:space="preserve"> PAGE </w:instrText>
    </w:r>
    <w:r w:rsidRPr="003B5B94">
      <w:fldChar w:fldCharType="separate"/>
    </w:r>
    <w:r w:rsidRPr="003B5B94">
      <w:rPr>
        <w:noProof/>
      </w:rPr>
      <w:t>2</w:t>
    </w:r>
    <w:r w:rsidRPr="003B5B94">
      <w:fldChar w:fldCharType="end"/>
    </w:r>
    <w:r w:rsidRPr="003B5B94">
      <w:t xml:space="preserve"> -</w:t>
    </w:r>
  </w:p>
  <w:p w:rsidR="00DD65B2" w:rsidRPr="003B5B94" w:rsidP="003B5B94" w14:paraId="18241882" w14:textId="367D164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E05C18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46FCD1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01CDAE1" w14:textId="028475F0">
          <w:pPr>
            <w:jc w:val="right"/>
            <w:rPr>
              <w:b/>
              <w:color w:val="FF0000"/>
              <w:szCs w:val="18"/>
            </w:rPr>
          </w:pPr>
          <w:r>
            <w:rPr>
              <w:b/>
              <w:color w:val="FF0000"/>
              <w:szCs w:val="18"/>
            </w:rPr>
            <w:t xml:space="preserve"> </w:t>
          </w:r>
        </w:p>
      </w:tc>
    </w:tr>
    <w:bookmarkEnd w:id="0"/>
    <w:tr w14:paraId="170817E4"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DDF39E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7BE351B" w14:textId="77777777">
          <w:pPr>
            <w:jc w:val="right"/>
            <w:rPr>
              <w:b/>
              <w:szCs w:val="18"/>
            </w:rPr>
          </w:pPr>
        </w:p>
      </w:tc>
    </w:tr>
    <w:tr w14:paraId="409FF4E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C89397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B5B94" w:rsidRPr="003B5B94" w:rsidP="00294BE1" w14:paraId="1019DAD1" w14:textId="77777777">
          <w:pPr>
            <w:jc w:val="right"/>
            <w:rPr>
              <w:b/>
              <w:szCs w:val="18"/>
              <w:lang w:val="en-GB"/>
            </w:rPr>
          </w:pPr>
          <w:bookmarkStart w:id="1" w:name="bmkSymbols"/>
          <w:r w:rsidRPr="003B5B94">
            <w:rPr>
              <w:b/>
              <w:szCs w:val="18"/>
              <w:lang w:val="en-GB"/>
            </w:rPr>
            <w:t>G/SPS/N/PER/1062/Add.1</w:t>
          </w:r>
        </w:p>
        <w:bookmarkEnd w:id="1"/>
        <w:p w:rsidR="005D4F0E" w:rsidRPr="003B5B94" w:rsidP="00294BE1" w14:paraId="276DF6C0" w14:textId="171EB531">
          <w:pPr>
            <w:jc w:val="right"/>
            <w:rPr>
              <w:b/>
              <w:szCs w:val="18"/>
              <w:lang w:val="en-GB"/>
            </w:rPr>
          </w:pPr>
        </w:p>
      </w:tc>
    </w:tr>
    <w:tr w14:paraId="304BD008" w14:textId="77777777" w:rsidTr="00433BE0">
      <w:tblPrEx>
        <w:tblW w:w="0" w:type="auto"/>
        <w:jc w:val="center"/>
        <w:tblLayout w:type="fixed"/>
        <w:tblLook w:val="04A0"/>
      </w:tblPrEx>
      <w:trPr>
        <w:trHeight w:val="240"/>
        <w:jc w:val="center"/>
      </w:trPr>
      <w:tc>
        <w:tcPr>
          <w:tcW w:w="3818" w:type="dxa"/>
          <w:vMerge/>
          <w:vAlign w:val="center"/>
          <w:hideMark/>
        </w:tcPr>
        <w:p w:rsidR="005D4F0E" w:rsidRPr="003B5B94" w14:paraId="5382EA87"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06C281D" w14:textId="1322239E">
          <w:pPr>
            <w:jc w:val="right"/>
            <w:rPr>
              <w:szCs w:val="18"/>
            </w:rPr>
          </w:pPr>
          <w:bookmarkStart w:id="2" w:name="bmkDate"/>
          <w:bookmarkStart w:id="3" w:name="spsDateDistribution"/>
          <w:r>
            <w:rPr>
              <w:szCs w:val="18"/>
            </w:rPr>
            <w:t>2</w:t>
          </w:r>
          <w:r w:rsidR="00DA3CFF">
            <w:rPr>
              <w:szCs w:val="18"/>
            </w:rPr>
            <w:t>1</w:t>
          </w:r>
          <w:r w:rsidRPr="00730687" w:rsidR="00CF53FD">
            <w:rPr>
              <w:szCs w:val="18"/>
            </w:rPr>
            <w:t xml:space="preserve"> de mayo de 2025</w:t>
          </w:r>
          <w:bookmarkEnd w:id="2"/>
          <w:bookmarkEnd w:id="3"/>
        </w:p>
      </w:tc>
    </w:tr>
    <w:tr w14:paraId="47896A1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778812B" w14:textId="77777777">
          <w:pPr>
            <w:jc w:val="left"/>
            <w:rPr>
              <w:b/>
              <w:szCs w:val="18"/>
            </w:rPr>
          </w:pPr>
          <w:bookmarkStart w:id="4" w:name="bmkSerial"/>
          <w:r>
            <w:rPr>
              <w:b w:val="0"/>
              <w:color w:val="FF0000"/>
            </w:rPr>
            <w:t>(25-3406)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5004CA7"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0F32856"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DB738B6" w14:textId="7AC4092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90787D6" w14:textId="53BB0A9F">
          <w:pPr>
            <w:jc w:val="right"/>
            <w:rPr>
              <w:bCs/>
              <w:szCs w:val="18"/>
            </w:rPr>
          </w:pPr>
          <w:bookmarkStart w:id="7" w:name="bmkLanguage"/>
          <w:r>
            <w:rPr>
              <w:bCs/>
              <w:szCs w:val="18"/>
            </w:rPr>
            <w:t>Original: español</w:t>
          </w:r>
          <w:bookmarkEnd w:id="7"/>
        </w:p>
      </w:tc>
    </w:tr>
  </w:tbl>
  <w:p w:rsidR="00DD65B2" w:rsidRPr="008179F6" w14:paraId="7B5F2E0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71003256">
    <w:abstractNumId w:val="8"/>
  </w:num>
  <w:num w:numId="2" w16cid:durableId="693044028">
    <w:abstractNumId w:val="3"/>
  </w:num>
  <w:num w:numId="3" w16cid:durableId="1387411118">
    <w:abstractNumId w:val="2"/>
  </w:num>
  <w:num w:numId="4" w16cid:durableId="286083279">
    <w:abstractNumId w:val="1"/>
  </w:num>
  <w:num w:numId="5" w16cid:durableId="830675072">
    <w:abstractNumId w:val="0"/>
  </w:num>
  <w:num w:numId="6" w16cid:durableId="1139108607">
    <w:abstractNumId w:val="12"/>
  </w:num>
  <w:num w:numId="7" w16cid:durableId="2011180083">
    <w:abstractNumId w:val="10"/>
  </w:num>
  <w:num w:numId="8" w16cid:durableId="1493258892">
    <w:abstractNumId w:val="13"/>
  </w:num>
  <w:num w:numId="9" w16cid:durableId="1050495334">
    <w:abstractNumId w:val="9"/>
  </w:num>
  <w:num w:numId="10" w16cid:durableId="940524518">
    <w:abstractNumId w:val="7"/>
  </w:num>
  <w:num w:numId="11" w16cid:durableId="1267150946">
    <w:abstractNumId w:val="6"/>
  </w:num>
  <w:num w:numId="12" w16cid:durableId="628365385">
    <w:abstractNumId w:val="5"/>
  </w:num>
  <w:num w:numId="13" w16cid:durableId="1969966264">
    <w:abstractNumId w:val="4"/>
  </w:num>
  <w:num w:numId="14" w16cid:durableId="1044645782">
    <w:abstractNumId w:val="11"/>
  </w:num>
  <w:num w:numId="15" w16cid:durableId="9377176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75EFC"/>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677DB"/>
    <w:rsid w:val="00171535"/>
    <w:rsid w:val="00182CE3"/>
    <w:rsid w:val="00183FF2"/>
    <w:rsid w:val="001A7F54"/>
    <w:rsid w:val="001B50DF"/>
    <w:rsid w:val="001B73EF"/>
    <w:rsid w:val="001C2CC7"/>
    <w:rsid w:val="001D0E4B"/>
    <w:rsid w:val="00211E77"/>
    <w:rsid w:val="002149CB"/>
    <w:rsid w:val="002242B5"/>
    <w:rsid w:val="00235292"/>
    <w:rsid w:val="002439DF"/>
    <w:rsid w:val="00255119"/>
    <w:rsid w:val="00256E19"/>
    <w:rsid w:val="002570FB"/>
    <w:rsid w:val="00276383"/>
    <w:rsid w:val="00287066"/>
    <w:rsid w:val="00293E6A"/>
    <w:rsid w:val="00294BE1"/>
    <w:rsid w:val="002E451B"/>
    <w:rsid w:val="003267CD"/>
    <w:rsid w:val="00334600"/>
    <w:rsid w:val="00337700"/>
    <w:rsid w:val="003422F5"/>
    <w:rsid w:val="00342A86"/>
    <w:rsid w:val="003A0E78"/>
    <w:rsid w:val="003A19CB"/>
    <w:rsid w:val="003B0391"/>
    <w:rsid w:val="003B5B94"/>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1566C"/>
    <w:rsid w:val="006629BA"/>
    <w:rsid w:val="006652F7"/>
    <w:rsid w:val="00674833"/>
    <w:rsid w:val="006A2F2A"/>
    <w:rsid w:val="006C42DF"/>
    <w:rsid w:val="006C43CD"/>
    <w:rsid w:val="006E0C67"/>
    <w:rsid w:val="006F1734"/>
    <w:rsid w:val="00727F5B"/>
    <w:rsid w:val="00730687"/>
    <w:rsid w:val="00735ADA"/>
    <w:rsid w:val="007455B9"/>
    <w:rsid w:val="00795114"/>
    <w:rsid w:val="007A761F"/>
    <w:rsid w:val="007B242B"/>
    <w:rsid w:val="007B7BB1"/>
    <w:rsid w:val="007C4766"/>
    <w:rsid w:val="007D39B5"/>
    <w:rsid w:val="007F7EFF"/>
    <w:rsid w:val="008179F6"/>
    <w:rsid w:val="0082529B"/>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174D"/>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CF53FD"/>
    <w:rsid w:val="00D65AF6"/>
    <w:rsid w:val="00D66DCB"/>
    <w:rsid w:val="00D66F5C"/>
    <w:rsid w:val="00DA3CFF"/>
    <w:rsid w:val="00DB47DD"/>
    <w:rsid w:val="00DB7CB0"/>
    <w:rsid w:val="00DC1EB2"/>
    <w:rsid w:val="00DD65B2"/>
    <w:rsid w:val="00DE24B1"/>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A6B21"/>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F0F536"/>
  <w15:docId w15:val="{DA446B0C-955C-4AF7-858B-F35EBB03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paragraph" w:styleId="Revision">
    <w:name w:val="Revision"/>
    <w:hidden/>
    <w:uiPriority w:val="99"/>
    <w:semiHidden/>
    <w:rsid w:val="003B5B94"/>
    <w:rPr>
      <w:rFonts w:ascii="Verdana" w:hAnsi="Verdana"/>
      <w:sz w:val="18"/>
      <w:szCs w:val="22"/>
      <w:lang w:val="es-ES" w:eastAsia="en-US"/>
    </w:rPr>
  </w:style>
  <w:style w:type="character" w:styleId="UnresolvedMention">
    <w:name w:val="Unresolved Mention"/>
    <w:basedOn w:val="DefaultParagraphFont"/>
    <w:uiPriority w:val="99"/>
    <w:rsid w:val="003B5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b.pe/institucion/produce/normas-legales/6668433-005-2025-produce" TargetMode="External" /><Relationship Id="rId5" Type="http://schemas.openxmlformats.org/officeDocument/2006/relationships/hyperlink" Target="mailto:muriel.gomez@sanipes.gob.pe" TargetMode="External" /><Relationship Id="rId6" Type="http://schemas.openxmlformats.org/officeDocument/2006/relationships/hyperlink" Target="mailto:notificacionesmsf@senasa.gob.p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14</cp:revision>
  <dcterms:created xsi:type="dcterms:W3CDTF">2018-10-15T07:09:00Z</dcterms:created>
  <dcterms:modified xsi:type="dcterms:W3CDTF">2025-05-21T10:56:00Z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G/SPS/N/PER/1062/Add.1</vt:lpwstr>
  </property>
</Properties>
</file>