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709E29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[Federal Register Volume 90, Number 46 (Tuesday, March 11, 2025)]</w:t>
      </w:r>
    </w:p>
    <w:p w14:paraId="715364A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[Rules and Regulations]</w:t>
      </w:r>
    </w:p>
    <w:p w14:paraId="364DF0E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[Pages 11670-11674]</w:t>
      </w:r>
    </w:p>
    <w:p w14:paraId="40FC14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From the Federal Register Online via the Government Publishing Office [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"http://www.gpo.gov/"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www.gpo.gov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]</w:t>
      </w:r>
    </w:p>
    <w:p w14:paraId="5FF59E1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[FR Doc No: 2025-03872]</w:t>
      </w:r>
    </w:p>
    <w:p w14:paraId="64DCC0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484C7B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=======================================================================</w:t>
      </w:r>
    </w:p>
    <w:p w14:paraId="1EF806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</w:t>
      </w:r>
    </w:p>
    <w:p w14:paraId="71B13B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95E3F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ENVIRONMENTAL PROTECTION AGENCY</w:t>
      </w:r>
    </w:p>
    <w:p w14:paraId="72A0255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ABA46A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40 CFR Part 180</w:t>
      </w:r>
    </w:p>
    <w:p w14:paraId="25F0F39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30AEC3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[EPA-HQ-OPP-2022-0575; FRL-12591-01-OCSPP]</w:t>
      </w:r>
    </w:p>
    <w:p w14:paraId="265505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6A1A73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Metamitron; Pesticide Tolerances</w:t>
      </w:r>
    </w:p>
    <w:p w14:paraId="12F626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D6964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AGENCY: Environmental Protection Agency (EPA).</w:t>
      </w:r>
    </w:p>
    <w:p w14:paraId="2C7E1E4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FA3BF3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ACTION: Final rule.</w:t>
      </w:r>
    </w:p>
    <w:p w14:paraId="5CC5481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DC750C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</w:t>
      </w:r>
    </w:p>
    <w:p w14:paraId="798FEF2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SUMMARY: This regulation establishes tolerances for residues of </w:t>
      </w:r>
    </w:p>
    <w:p w14:paraId="6A0585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metamitron in or on apple and pear. ADAMA AGAN c/o Makhteshim Agan of </w:t>
      </w:r>
    </w:p>
    <w:p w14:paraId="66ACED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North America, Inc. (d/b/a ADAMA) requested these tolerances under the </w:t>
      </w:r>
    </w:p>
    <w:p w14:paraId="179BB99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Federal Food, Drug, and Cosmetic Act (FFDCA).</w:t>
      </w:r>
    </w:p>
    <w:p w14:paraId="42DC11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D510E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DATES: This regulation is effective March 11, 2025. Objections and </w:t>
      </w:r>
    </w:p>
    <w:p w14:paraId="5BD3FE6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requests for hearings must be received on or before May 12, 2025 and </w:t>
      </w:r>
    </w:p>
    <w:p w14:paraId="10DA55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must be filed in accordance with the instructions provided in 40 CFR </w:t>
      </w:r>
    </w:p>
    <w:p w14:paraId="349A7DE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part 178 (see also Unit I.C. of the SUPPLEMENTARY INFORMATION).</w:t>
      </w:r>
    </w:p>
    <w:p w14:paraId="2834D6C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3014E7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ADDRESSES: The docket for this action, identified by docket </w:t>
      </w:r>
    </w:p>
    <w:p w14:paraId="7FED1E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identification (ID) number EPA-HQ-OPP-2022-0575, is available online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"https://www.regulations.gov/"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https://www.regulations.gov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. Additional information about dockets </w:t>
      </w:r>
    </w:p>
    <w:p w14:paraId="48B8B85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generally, along with instructions for visiting the docket in-person, </w:t>
      </w:r>
    </w:p>
    <w:p w14:paraId="2826803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is available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"https://www.epa.gov/dockets"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https://www.epa.gov/dockets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420B9B6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2B3178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FOR FURTHER INFORMATION CONTACT: Charles Smith, Director, Registration </w:t>
      </w:r>
    </w:p>
    <w:p w14:paraId="6AD23D4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Division (7505T), Office of Pesticide Programs, Environmental </w:t>
      </w:r>
    </w:p>
    <w:p w14:paraId="639AB70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Protection Agency, 1200 Pennsylvania Ave. NW, Washington, DC 20460-</w:t>
      </w:r>
    </w:p>
    <w:p w14:paraId="1A94B2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0001; main telephone number: (202) 566-1030; email address: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"mailto:RDFRNotices@epa.gov"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RDFRNotices@epa.gov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5495952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A5B04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SUPPLEMENTARY INFORMATION:</w:t>
      </w:r>
    </w:p>
    <w:p w14:paraId="526CFFD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BDAA24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I. Executive Summary</w:t>
      </w:r>
    </w:p>
    <w:p w14:paraId="1ABF190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35456F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A. Does this action apply to me?</w:t>
      </w:r>
    </w:p>
    <w:p w14:paraId="20D9C9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BC5478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You may be potentially affected by this action if you are an </w:t>
      </w:r>
    </w:p>
    <w:p w14:paraId="598874C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agricultural producer, food manufacturer, or pesticide manufacturer. </w:t>
      </w:r>
    </w:p>
    <w:p w14:paraId="1BD7021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following list of North American Industrial Classification System </w:t>
      </w:r>
    </w:p>
    <w:p w14:paraId="4C95E8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(NAICS) codes is not intended to be exhaustive, but rather provides a </w:t>
      </w:r>
    </w:p>
    <w:p w14:paraId="56F304F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guide to help readers determine whether this document applies to them. </w:t>
      </w:r>
    </w:p>
    <w:p w14:paraId="5DFDB6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Potentially affected entities may include:</w:t>
      </w:r>
    </w:p>
    <w:p w14:paraId="6B589A7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Crop production (NAICS code 111).</w:t>
      </w:r>
    </w:p>
    <w:p w14:paraId="0E9559D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Animal production (NAICS code 112).</w:t>
      </w:r>
    </w:p>
    <w:p w14:paraId="20DC2F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Food manufacturing (NAICS code 311).</w:t>
      </w:r>
    </w:p>
    <w:p w14:paraId="25F252C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Pesticide manufacturing (NAICS code 32532).</w:t>
      </w:r>
    </w:p>
    <w:p w14:paraId="6C14652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If you have any questions regarding the applicability of this </w:t>
      </w:r>
    </w:p>
    <w:p w14:paraId="5456B0E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proposed action to a particular entity, consult the person listed under </w:t>
      </w:r>
    </w:p>
    <w:p w14:paraId="7EF6716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FOR FURTHER INFORMATION CONTACT.</w:t>
      </w:r>
    </w:p>
    <w:p w14:paraId="3FB0C47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6554F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B. What is EPA's authority for taking this action?</w:t>
      </w:r>
    </w:p>
    <w:p w14:paraId="18AFE57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A7CDF0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tolerance action is issued pursuant to section 408 of the </w:t>
      </w:r>
    </w:p>
    <w:p w14:paraId="719132C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Federal Food, Drug, and Cosmetic Act (FFDCA), 21 U.S.C. 346a et seq., </w:t>
      </w:r>
    </w:p>
    <w:p w14:paraId="6CAF62B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EPA regulations in 40 CFR part 180. FFDCA section 408(b)(2)(A)(i) </w:t>
      </w:r>
    </w:p>
    <w:p w14:paraId="02971CA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allows EPA to establish a tolerance (the legal limit for a pesticide </w:t>
      </w:r>
    </w:p>
    <w:p w14:paraId="27EB4BE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chemical residue in or on a food) only if EPA determines that the</w:t>
      </w:r>
    </w:p>
    <w:p w14:paraId="4C07E2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E4205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[[Page 11671]]</w:t>
      </w:r>
    </w:p>
    <w:p w14:paraId="40B8A3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5C2E3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 is ``safe.'' Section 408(b)(2)(A)(ii) of FFDCA defines </w:t>
      </w:r>
    </w:p>
    <w:p w14:paraId="67A928E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``safe'' to mean that ``there is a reasonable certainty that no harm </w:t>
      </w:r>
    </w:p>
    <w:p w14:paraId="01C6BBC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will result from aggregate exposure to the pesticide chemical residue, </w:t>
      </w:r>
    </w:p>
    <w:p w14:paraId="4F67D34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including all anticipated dietary exposures and all other exposures for </w:t>
      </w:r>
    </w:p>
    <w:p w14:paraId="1368FD5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which there is reliable information.'' This includes exposure through </w:t>
      </w:r>
    </w:p>
    <w:p w14:paraId="0213980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drinking water and in residential settings but does not include </w:t>
      </w:r>
    </w:p>
    <w:p w14:paraId="1AF8D2B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occupational exposure. Section 408(b)(2)(C) of FFDCA requires EPA to </w:t>
      </w:r>
    </w:p>
    <w:p w14:paraId="297829E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give special consideration to exposure of infants and children to the </w:t>
      </w:r>
    </w:p>
    <w:p w14:paraId="77BDA2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 chemical residue in establishing a tolerance and to ``ensure </w:t>
      </w:r>
    </w:p>
    <w:p w14:paraId="298D112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that there is a reasonable certainty that no harm will result to </w:t>
      </w:r>
    </w:p>
    <w:p w14:paraId="1B68C61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infants and children from aggregate exposure to the pesticide chemical </w:t>
      </w:r>
    </w:p>
    <w:p w14:paraId="380BCCF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residue. . . .''</w:t>
      </w:r>
    </w:p>
    <w:p w14:paraId="7ED6D9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E63F8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C. How can I file an objection or hearing request?</w:t>
      </w:r>
    </w:p>
    <w:p w14:paraId="76C518A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B8AFB6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Under FFDCA section 408(g), 21 U.S.C. 346a(g), any person may file </w:t>
      </w:r>
    </w:p>
    <w:p w14:paraId="7E77D55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 objection to any aspect of this regulation and may also request a </w:t>
      </w:r>
    </w:p>
    <w:p w14:paraId="27558F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hearing on those objections. If you fail to file an objection to the </w:t>
      </w:r>
    </w:p>
    <w:p w14:paraId="09C7AA3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final rule within the time period specified in the final rule, you will </w:t>
      </w:r>
    </w:p>
    <w:p w14:paraId="4926E1C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have waived the right to raise any issues resolved in the final rule. </w:t>
      </w:r>
    </w:p>
    <w:p w14:paraId="1752C4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You must file your objection or request a hearing on this regulation in </w:t>
      </w:r>
    </w:p>
    <w:p w14:paraId="01E8540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accordance with the instructions provided in 40 CFR part 178. To ensure </w:t>
      </w:r>
    </w:p>
    <w:p w14:paraId="6B8CF85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proper receipt by EPA, you must identify docket ID number EPA-HQ-OPP-</w:t>
      </w:r>
    </w:p>
    <w:p w14:paraId="3DACE3A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2022-0575 in the subject line on the first page of your submission. All </w:t>
      </w:r>
    </w:p>
    <w:p w14:paraId="5D13F51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objections and requests for a hearing must be in writing and must be </w:t>
      </w:r>
    </w:p>
    <w:p w14:paraId="2620A25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received by the Hearing Clerk on or before May 12, 2025.</w:t>
      </w:r>
    </w:p>
    <w:p w14:paraId="32FF1E5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The EPA's Office of Administrative Law Judges (OALJ), in which the </w:t>
      </w:r>
    </w:p>
    <w:p w14:paraId="5E04B4B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Hearing Clerk is housed, urges parties to file and serve documents by </w:t>
      </w:r>
    </w:p>
    <w:p w14:paraId="0340DCB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electronic means only, notwithstanding any other particular </w:t>
      </w:r>
    </w:p>
    <w:p w14:paraId="7138197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requirements set forth in other procedural rules governing those </w:t>
      </w:r>
    </w:p>
    <w:p w14:paraId="696B56E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proceedings. See ``Revised Order Urging Electronic Filing and </w:t>
      </w:r>
    </w:p>
    <w:p w14:paraId="3BE9E27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Service,'' dated June 22, 2023, which can be found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"https://www.epa.gov/system/files/documents/2023-06/2023-06-22 - revised order urging electronic filing and service.pdf"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https://www.epa.gov/system/files/documents/2023-06/2023-06-22%20-%20revised%20order%20urging%20electronic%20filing%20and%20service.pdf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. </w:t>
      </w:r>
    </w:p>
    <w:p w14:paraId="07141DD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Although the EPA's regulations require submission via U.S. Mail or hand </w:t>
      </w:r>
    </w:p>
    <w:p w14:paraId="207EE6B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delivery, the EPA intends to treat submissions filed via electronic </w:t>
      </w:r>
    </w:p>
    <w:p w14:paraId="3C2E30C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means as properly filed submissions; therefore, the EPA believes the </w:t>
      </w:r>
    </w:p>
    <w:p w14:paraId="1D345AC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preference for submission via electronic means will not be prejudicial. </w:t>
      </w:r>
    </w:p>
    <w:p w14:paraId="1BB204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When submitting documents to the OALJ electronically, a person should </w:t>
      </w:r>
    </w:p>
    <w:p w14:paraId="36416EF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utilize the OALJ e-filing system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"https://yosemite.epa.gov/oa/eab/eab-alj_upload.nsf"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https://yosemite.epa.gov/oa/eab/eab-alj_upload.nsf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606D14E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E6FC9C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II. Summary of Petitioned-For Tolerance</w:t>
      </w:r>
    </w:p>
    <w:p w14:paraId="5A48AD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0CC1F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In the Federal Register of August 30, 2022 (87 FR 52868) (FRL-9410-</w:t>
      </w:r>
    </w:p>
    <w:p w14:paraId="2E31C71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04-OCSPP), EPA issued a document pursuant to FFDCA section 408(d)(3), </w:t>
      </w:r>
    </w:p>
    <w:p w14:paraId="5FA0B3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21 U.S.C. 346a(d)(3), announcing the filing of a pesticide petition (PP </w:t>
      </w:r>
    </w:p>
    <w:p w14:paraId="66B653B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1F8977) by ADAMA AGAN c/o Makhteshim Agan of North America, Inc. (d/b/a </w:t>
      </w:r>
    </w:p>
    <w:p w14:paraId="5E7D1BD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ADAMA), 8601 Six Forks Road, Suite 300, Raleigh, NC 27615. The petition </w:t>
      </w:r>
    </w:p>
    <w:p w14:paraId="1AAA2E9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requested that 40 CFR part 180 be amended by establishing tolerances </w:t>
      </w:r>
    </w:p>
    <w:p w14:paraId="0200555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for residues of the herbicide metamitron, including its metabolites and </w:t>
      </w:r>
    </w:p>
    <w:p w14:paraId="22BBB48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degradates, in or on pome fruit (crop group 11-10) at 0.01 parts per </w:t>
      </w:r>
    </w:p>
    <w:p w14:paraId="15619E2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million (ppm). That document referenced a summary of the petition </w:t>
      </w:r>
    </w:p>
    <w:p w14:paraId="732C4ED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prepared by ADAMA, the registrant, which is available in the docket. </w:t>
      </w:r>
    </w:p>
    <w:p w14:paraId="49A4E6E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There were no comments received in response to the request for comments </w:t>
      </w:r>
    </w:p>
    <w:p w14:paraId="327428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on the petition that published on August 30, 2022.</w:t>
      </w:r>
    </w:p>
    <w:p w14:paraId="0CF04C2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On August 5, 2024, following conversations with EPA, ADAMA informed </w:t>
      </w:r>
    </w:p>
    <w:p w14:paraId="36E51AE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Agency that they wish to modify their petition to instead establish </w:t>
      </w:r>
    </w:p>
    <w:p w14:paraId="26C9723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tolerances on apple and pear at 0.01 ppm. Because the tolerance </w:t>
      </w:r>
    </w:p>
    <w:p w14:paraId="7181D8C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petition originally published for public comment contains both of these </w:t>
      </w:r>
    </w:p>
    <w:p w14:paraId="14F560A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commodities in crop group 11-10, EPA did not request additional comment </w:t>
      </w:r>
    </w:p>
    <w:p w14:paraId="13F886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after that change.</w:t>
      </w:r>
    </w:p>
    <w:p w14:paraId="6E2965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5386E0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III. Aggregate Risk Assessment and Determination of Safety</w:t>
      </w:r>
    </w:p>
    <w:p w14:paraId="554D46B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C6302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Consistent with FFDCA section 408(b)(2)(D), and the factors </w:t>
      </w:r>
    </w:p>
    <w:p w14:paraId="255E53C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specified therein, EPA has reviewed the available scientific data and </w:t>
      </w:r>
    </w:p>
    <w:p w14:paraId="0BE818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other relevant information in support of this action. EPA has </w:t>
      </w:r>
    </w:p>
    <w:p w14:paraId="688843F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sufficient data to assess the hazards of and to make a determination on </w:t>
      </w:r>
    </w:p>
    <w:p w14:paraId="555BE34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aggregate exposure for metamitron including exposure resulting from the </w:t>
      </w:r>
    </w:p>
    <w:p w14:paraId="7CB0357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tolerances established by this action. EPA's assessment of exposures </w:t>
      </w:r>
    </w:p>
    <w:p w14:paraId="0E724A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and risks associated with metamitron follows.</w:t>
      </w:r>
    </w:p>
    <w:p w14:paraId="0D091A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887BF1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A. Toxicological Profile</w:t>
      </w:r>
    </w:p>
    <w:p w14:paraId="02C1B7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AAF6E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EPA has evaluated the available toxicity data and considered its </w:t>
      </w:r>
    </w:p>
    <w:p w14:paraId="01C0FEB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validity, completeness, and reliability as well as the relationship of </w:t>
      </w:r>
    </w:p>
    <w:p w14:paraId="50E08CA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results of the studies to human risk. EPA has also considered </w:t>
      </w:r>
    </w:p>
    <w:p w14:paraId="6DF9F11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available information concerning the variability of the sensitivities </w:t>
      </w:r>
    </w:p>
    <w:p w14:paraId="7CEA23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of major identifiable subgroups of consumers, including infants and </w:t>
      </w:r>
    </w:p>
    <w:p w14:paraId="2DC02F3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children.</w:t>
      </w:r>
    </w:p>
    <w:p w14:paraId="61EBF9C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The liver is the main target organ in both subchronic and chronic </w:t>
      </w:r>
    </w:p>
    <w:p w14:paraId="17B2CF1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toxicity studies in all three species tested (rat, mouse, dog) with </w:t>
      </w:r>
    </w:p>
    <w:p w14:paraId="1E5D1C4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gall bladder toxicity only observed in the dog. Neurotoxicity (clinical </w:t>
      </w:r>
    </w:p>
    <w:p w14:paraId="482CD50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signs and functional observational battery (FOB) findings) was also </w:t>
      </w:r>
    </w:p>
    <w:p w14:paraId="293964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observed following an acute exposure (single dose) in both mice and </w:t>
      </w:r>
    </w:p>
    <w:p w14:paraId="45B3A07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rats. In addition to target organ toxicity, decreased body weights were </w:t>
      </w:r>
    </w:p>
    <w:p w14:paraId="2258285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observed in rats and dogs. Across all three species tested, the </w:t>
      </w:r>
    </w:p>
    <w:p w14:paraId="37215D0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severity of the adverse liver and body weight effects progressed across </w:t>
      </w:r>
    </w:p>
    <w:p w14:paraId="4082A8D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time and dose, with the rat and dog being more sensitive (i.e., effects </w:t>
      </w:r>
    </w:p>
    <w:p w14:paraId="5AC3A23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were seen at lower doses) as compared to the mouse when allometric </w:t>
      </w:r>
    </w:p>
    <w:p w14:paraId="4F6F31C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scaling is not considered. Females tended to be slightly more sensitive </w:t>
      </w:r>
    </w:p>
    <w:p w14:paraId="40EED61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as compared to males and this sex difference may be due to the longer </w:t>
      </w:r>
    </w:p>
    <w:p w14:paraId="7F078FA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half-life and slower decline of metamitron in vivo in females.</w:t>
      </w:r>
    </w:p>
    <w:p w14:paraId="7203AFD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Metamitron is classified as ``Not Likely to Be Carcinogenic to </w:t>
      </w:r>
    </w:p>
    <w:p w14:paraId="1A5D41F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Humans'' based on a lack of treatment-related tumors in acceptable rat </w:t>
      </w:r>
    </w:p>
    <w:p w14:paraId="0D96A19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mouse carcinogenicity studies and low concern for mutagenic </w:t>
      </w:r>
    </w:p>
    <w:p w14:paraId="69C9098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potential.</w:t>
      </w:r>
    </w:p>
    <w:p w14:paraId="02AB27C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Specific information on the studies received and the nature of the </w:t>
      </w:r>
    </w:p>
    <w:p w14:paraId="731A1E6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adverse effects caused by metamitron as well as the no-observed-</w:t>
      </w:r>
    </w:p>
    <w:p w14:paraId="1AC3A13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adverse-effect-level (NOAEL) and the lowest-observed-adverse-effect-</w:t>
      </w:r>
    </w:p>
    <w:p w14:paraId="3578993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level (LOAEL) from the toxicity studies can be found on pages 12-20 in </w:t>
      </w:r>
    </w:p>
    <w:p w14:paraId="34CA1A6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document ``Metamitron. Human Health Risk Assessment for First Food </w:t>
      </w:r>
    </w:p>
    <w:p w14:paraId="6CC5392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Use Petition for the Establishment of Permanent Tolerances and </w:t>
      </w:r>
    </w:p>
    <w:p w14:paraId="30F3756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Registration for Uses on Apple and Pear. New Active Ingredient'' </w:t>
      </w:r>
    </w:p>
    <w:p w14:paraId="0C83E95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hereinafter referred to as ``Metamitron Human Health Risk Assessment'' </w:t>
      </w:r>
    </w:p>
    <w:p w14:paraId="5C86C67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that is available in docket ID number EPA-HQ-OPP-2022-0575.</w:t>
      </w:r>
    </w:p>
    <w:p w14:paraId="306885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8845ED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B. Toxicological Points of Departure/Levels of Concern</w:t>
      </w:r>
    </w:p>
    <w:p w14:paraId="200DF35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760A2A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Once a pesticide's toxicological profile is determined, EPA </w:t>
      </w:r>
    </w:p>
    <w:p w14:paraId="6D6E3B0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identifies toxicological points of departure (POD) and levels of </w:t>
      </w:r>
    </w:p>
    <w:p w14:paraId="5324B06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concern to use in evaluating the risk posed by human exposure to the </w:t>
      </w:r>
    </w:p>
    <w:p w14:paraId="6EED7B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pesticide. For hazards that have a threshold below which there is no </w:t>
      </w:r>
    </w:p>
    <w:p w14:paraId="7148C10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appreciable risk, the toxicological POD is used as the basis for </w:t>
      </w:r>
    </w:p>
    <w:p w14:paraId="64C20A4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derivation of reference values for risk assessment. PODs are developed </w:t>
      </w:r>
    </w:p>
    <w:p w14:paraId="32E3ABC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based on a careful analysis of the doses in each toxicological study to </w:t>
      </w:r>
    </w:p>
    <w:p w14:paraId="10306A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determine the dose at which no adverse effects are observed (the NOAEL) </w:t>
      </w:r>
    </w:p>
    <w:p w14:paraId="07C17BA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the lowest dose at which adverse effects of concern are identified </w:t>
      </w:r>
    </w:p>
    <w:p w14:paraId="3A8A3DA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(the LOAEL). Uncertainty/safety factors are used in conjunction with </w:t>
      </w:r>
    </w:p>
    <w:p w14:paraId="6C48D7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POD to calculate a safe exposure level--generally referred to as a </w:t>
      </w:r>
    </w:p>
    <w:p w14:paraId="0C3429C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population-adjusted dose (PAD) or a reference dose (RfD)--and a safe </w:t>
      </w:r>
    </w:p>
    <w:p w14:paraId="5E14D28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margin</w:t>
      </w:r>
    </w:p>
    <w:p w14:paraId="5181309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E1FF1F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[[Page 11672]]</w:t>
      </w:r>
    </w:p>
    <w:p w14:paraId="71309E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00E07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of exposure (MOE). For non-threshold risks, the Agency assumes that any </w:t>
      </w:r>
    </w:p>
    <w:p w14:paraId="6A42CE7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amount of exposure will lead to some degree of risk. Thus, the Agency </w:t>
      </w:r>
    </w:p>
    <w:p w14:paraId="3B5EF1B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estimates risk in terms of the probability of an occurrence of the </w:t>
      </w:r>
    </w:p>
    <w:p w14:paraId="5E68631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adverse effect expected in a lifetime. For more information on the </w:t>
      </w:r>
    </w:p>
    <w:p w14:paraId="00E89F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general principles EPA uses in risk characterization and a complete </w:t>
      </w:r>
    </w:p>
    <w:p w14:paraId="2E15C97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description of the risk assessment process, see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"https://www.epa.gov/pesticide-science-and-assessing-pesticide-risks/assessing-human-health-risk-pesticides"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https://www.epa.gov/pesticide-science-and-assessing-pesticide-risks/assessing-human-health-risk-pesticides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268ED5C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 summary of the toxicological endpoints for metamitron used for </w:t>
      </w:r>
    </w:p>
    <w:p w14:paraId="4AA2A62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human risk assessment can be found on pages 24-25 in the ``Metamitron </w:t>
      </w:r>
    </w:p>
    <w:p w14:paraId="5EC328F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Human Health Risk Assessment.''</w:t>
      </w:r>
    </w:p>
    <w:p w14:paraId="5177296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FD2F00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C. Exposure Assessment</w:t>
      </w:r>
    </w:p>
    <w:p w14:paraId="4244A37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7DC6BB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1. Dietary exposure from food and feed uses. In evaluating dietary </w:t>
      </w:r>
    </w:p>
    <w:p w14:paraId="665464B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exposure to metamitron, EPA considered exposure under the petitioned-</w:t>
      </w:r>
    </w:p>
    <w:p w14:paraId="1A5F07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for tolerances. EPA assessed dietary exposures from metamitron in food </w:t>
      </w:r>
    </w:p>
    <w:p w14:paraId="16B0A9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as follows:</w:t>
      </w:r>
    </w:p>
    <w:p w14:paraId="75458ED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i. Acute and chronic exposure. Quantitative acute dietary exposure </w:t>
      </w:r>
    </w:p>
    <w:p w14:paraId="1649AE5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risk assessments are performed for a food-use pesticide, if a </w:t>
      </w:r>
    </w:p>
    <w:p w14:paraId="2B4F35C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toxicological study has indicated the possibility of an effect of </w:t>
      </w:r>
    </w:p>
    <w:p w14:paraId="0695FAF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concern occurring as a result of a 1-day or single exposure. Such </w:t>
      </w:r>
    </w:p>
    <w:p w14:paraId="5E39A35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effects were identified for metamitron. In estimating the acute and </w:t>
      </w:r>
    </w:p>
    <w:p w14:paraId="0C4E16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chronic dietary exposure, EPA used food consumption information from </w:t>
      </w:r>
    </w:p>
    <w:p w14:paraId="4B27859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United States Department of Agriculture (USDA) 2005-2010 National </w:t>
      </w:r>
    </w:p>
    <w:p w14:paraId="27FDBF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Health and Nutrition Examination Survey, What We Eat in America </w:t>
      </w:r>
    </w:p>
    <w:p w14:paraId="65A04B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(NHANES/WWEIA). As to residue levels in food, EPA conducted unrefined </w:t>
      </w:r>
    </w:p>
    <w:p w14:paraId="3C89E98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acute and chronic dietary exposure assessments for the proposed new </w:t>
      </w:r>
    </w:p>
    <w:p w14:paraId="0503CE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uses on apples and pears, based on combined level of quantification </w:t>
      </w:r>
    </w:p>
    <w:p w14:paraId="3E8CEFD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(LOQ) field trial residues from parent compound metamitron and the </w:t>
      </w:r>
    </w:p>
    <w:p w14:paraId="5F7A4DF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metabolite desamino-metamitron, default processing factors, and assumed </w:t>
      </w:r>
    </w:p>
    <w:p w14:paraId="5716019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100 percent crop treated (PCT).</w:t>
      </w:r>
    </w:p>
    <w:p w14:paraId="482B43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ii. Cancer. Based on the data summarized in Unit III.A., EPA has </w:t>
      </w:r>
    </w:p>
    <w:p w14:paraId="347260C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concluded that metamitron does not pose a cancer risk to humans. </w:t>
      </w:r>
    </w:p>
    <w:p w14:paraId="5F9D233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Therefore, a dietary exposure assessment for the purpose of assessing </w:t>
      </w:r>
    </w:p>
    <w:p w14:paraId="78ED436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cancer risk is unnecessary.</w:t>
      </w:r>
    </w:p>
    <w:p w14:paraId="658E6C9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iii. Anticipated residue and percent crop treated (PCT) </w:t>
      </w:r>
    </w:p>
    <w:p w14:paraId="5670C75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information. EPA did not use anticipated residue and/or PCT information </w:t>
      </w:r>
    </w:p>
    <w:p w14:paraId="1017AE0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in the dietary assessment for metamitron. Tolerance level residues and/</w:t>
      </w:r>
    </w:p>
    <w:p w14:paraId="4D1691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or 100% CT were assumed for all food commodities.</w:t>
      </w:r>
    </w:p>
    <w:p w14:paraId="29C93AA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2. Dietary exposure from drinking water. The Agency used screening </w:t>
      </w:r>
    </w:p>
    <w:p w14:paraId="78372CA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level water exposure models in the dietary exposure analysis and risk </w:t>
      </w:r>
    </w:p>
    <w:p w14:paraId="28D056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assessment for metamitron in drinking water. These simulation models </w:t>
      </w:r>
    </w:p>
    <w:p w14:paraId="30AA1D9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take into account data on the physical, chemical, and fate/transport </w:t>
      </w:r>
    </w:p>
    <w:p w14:paraId="594210F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characteristics of metamitron. Further information regarding EPA </w:t>
      </w:r>
    </w:p>
    <w:p w14:paraId="71D3100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drinking water models used in pesticide exposure assessment can be </w:t>
      </w:r>
    </w:p>
    <w:p w14:paraId="36681F5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found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"https://www.epa.gov/pesticide-science-and-assessing-pesticide-risks/models-pesticide-risk-assessment"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https://www.epa.gov/pesticide-science-and-assessing-pesticide-risks/models-pesticide-risk-assessment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22C0635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Based on the Pesticide Water Calculator (PWC) model (ver. 2.001) </w:t>
      </w:r>
    </w:p>
    <w:p w14:paraId="363F16F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new drinking water scenarios, the estimated drinking water </w:t>
      </w:r>
    </w:p>
    <w:p w14:paraId="115B78A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concentrations (EDWCs) of metamitron for acute exposures from </w:t>
      </w:r>
    </w:p>
    <w:p w14:paraId="35B1DFE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applications to apples and pears are estimated to be 17 parts per </w:t>
      </w:r>
    </w:p>
    <w:p w14:paraId="33DBB3D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billion (ppb) for surface water and 19 ppb for ground water, and for </w:t>
      </w:r>
    </w:p>
    <w:p w14:paraId="0A9D4F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chronic exposures for non-cancer assessments are estimated to be 5.3 </w:t>
      </w:r>
    </w:p>
    <w:p w14:paraId="30A578C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ppb for surface water and 5.2 ppb for ground water. EPA used EDWCs for </w:t>
      </w:r>
    </w:p>
    <w:p w14:paraId="422C83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sugar beet from a previously issued Section 18 Emergency Exemption to </w:t>
      </w:r>
    </w:p>
    <w:p w14:paraId="203994F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represent protective high-end estimates for the proposed use on apples </w:t>
      </w:r>
    </w:p>
    <w:p w14:paraId="121BF22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pears as well as sugar beet. The sugar beet surface water EDWCs of </w:t>
      </w:r>
    </w:p>
    <w:p w14:paraId="005AF38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91 ppb for acute and 61 ppb for chronic drinking water exposure were </w:t>
      </w:r>
    </w:p>
    <w:p w14:paraId="1A56FE5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directly incorporated into the assessments since surface water models </w:t>
      </w:r>
    </w:p>
    <w:p w14:paraId="5CFE3E0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for sugar beet gave ~1.6 times higher water concentrations than those </w:t>
      </w:r>
    </w:p>
    <w:p w14:paraId="2E3D9EB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from ground water models for sugar beet, and ~5 times higher water </w:t>
      </w:r>
    </w:p>
    <w:p w14:paraId="43345E0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concentrations than surface water and groundwater EDWCs from apples and </w:t>
      </w:r>
    </w:p>
    <w:p w14:paraId="142C84B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pears.</w:t>
      </w:r>
    </w:p>
    <w:p w14:paraId="08B7C40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3. From non-dietary exposure. The term ``residential exposure'' is </w:t>
      </w:r>
    </w:p>
    <w:p w14:paraId="02CDA0C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used in this document to refer to non-occupational, non-dietary </w:t>
      </w:r>
    </w:p>
    <w:p w14:paraId="7C9FF5C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exposure (e.g., for lawn and garden pest control, indoor pest control, </w:t>
      </w:r>
    </w:p>
    <w:p w14:paraId="092B273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termiticides, and flea and tick control on pets). Metamitron is not </w:t>
      </w:r>
    </w:p>
    <w:p w14:paraId="09A3BAA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registered for any specific residential use patterns that would result </w:t>
      </w:r>
    </w:p>
    <w:p w14:paraId="35AEDE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in residential exposure.</w:t>
      </w:r>
    </w:p>
    <w:p w14:paraId="24FAD33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4. Cumulative effects from substances with a common mechanism of </w:t>
      </w:r>
    </w:p>
    <w:p w14:paraId="0CE5A03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toxicity. Section 408(b)(2)(D)(v) of FFDCA requires that, when </w:t>
      </w:r>
    </w:p>
    <w:p w14:paraId="474E856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considering whether to establish, modify, or revoke a tolerance, the </w:t>
      </w:r>
    </w:p>
    <w:p w14:paraId="248F8C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Agency consider ``available information'' concerning the cumulative </w:t>
      </w:r>
    </w:p>
    <w:p w14:paraId="31EE229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effects of a particular pesticide's residues and ``other substances </w:t>
      </w:r>
    </w:p>
    <w:p w14:paraId="6C6A561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that have a common mechanism of toxicity.''</w:t>
      </w:r>
    </w:p>
    <w:p w14:paraId="66AE795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EPA has not found metamitron to share a common mechanism of </w:t>
      </w:r>
    </w:p>
    <w:p w14:paraId="4B56592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toxicity with any other substances, and metamitron does not appear to </w:t>
      </w:r>
    </w:p>
    <w:p w14:paraId="11F9AEC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produce a toxic metabolite produced by other substances. For the </w:t>
      </w:r>
    </w:p>
    <w:p w14:paraId="2939EA0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purposes of this tolerance action, therefore, EPA has assumed that </w:t>
      </w:r>
    </w:p>
    <w:p w14:paraId="2FDB18C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metamitron does not have a common mechanism of toxicity with other </w:t>
      </w:r>
    </w:p>
    <w:p w14:paraId="1B45FAC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substances. For information regarding EPA's efforts to determine which </w:t>
      </w:r>
    </w:p>
    <w:p w14:paraId="709F91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chemicals have a common mechanism of toxicity and to evaluate the </w:t>
      </w:r>
    </w:p>
    <w:p w14:paraId="655032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cumulative effects of such chemicals, see EPA's website at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"https://www.epa.gov/pesticide-science-and-assessing-pesticide-risks/cumulative-assessment-risk-pesticides"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https://www.epa.gov/pesticide-science-and-assessing-pesticide-risks/cumulative-assessment-risk-pesticides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 xml:space="preserve">. As part of the ongoing process to review </w:t>
      </w:r>
    </w:p>
    <w:p w14:paraId="72DE84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registered pesticides, the Agency intends to apply this framework to </w:t>
      </w:r>
    </w:p>
    <w:p w14:paraId="70636DC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determine if the available toxicological data for metamitron suggests a </w:t>
      </w:r>
    </w:p>
    <w:p w14:paraId="0A57808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candidate common mechanism group (CMG) may be established with other </w:t>
      </w:r>
    </w:p>
    <w:p w14:paraId="474D45B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pesticides. If a CMG is established, a screening-level toxicology and </w:t>
      </w:r>
    </w:p>
    <w:p w14:paraId="02D2EC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exposure analysis may be conducted to provide an initial screen for </w:t>
      </w:r>
    </w:p>
    <w:p w14:paraId="4CE1EFA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multiple pesticide exposure.</w:t>
      </w:r>
    </w:p>
    <w:p w14:paraId="57D8960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3BA063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D. Safety Factor for Infants and Children</w:t>
      </w:r>
    </w:p>
    <w:p w14:paraId="494A2E0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0CB2CD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1. In general. Section 408(b)(2)(C) of FFDCA provides that EPA </w:t>
      </w:r>
    </w:p>
    <w:p w14:paraId="3C2F30E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shall apply an additional tenfold (10X) margin of safety for infants </w:t>
      </w:r>
    </w:p>
    <w:p w14:paraId="2897FCC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children in the case of threshold effects to account for prenatal </w:t>
      </w:r>
    </w:p>
    <w:p w14:paraId="2F7BE04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postnatal toxicity and the completeness of the database on toxicity </w:t>
      </w:r>
    </w:p>
    <w:p w14:paraId="33DE67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exposure unless EPA determines based on reliable data that a </w:t>
      </w:r>
    </w:p>
    <w:p w14:paraId="25B3A0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different margin of safety will be safe for infants and children. This </w:t>
      </w:r>
    </w:p>
    <w:p w14:paraId="65CB73C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additional margin of safety is commonly referred to as the Food Quality </w:t>
      </w:r>
    </w:p>
    <w:p w14:paraId="362B48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Protection Act (FQPA) Safety Factor (SF). In applying this provision, </w:t>
      </w:r>
    </w:p>
    <w:p w14:paraId="0F9EED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EPA either retains the default value of 10X, or uses a different </w:t>
      </w:r>
    </w:p>
    <w:p w14:paraId="49EA8AB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additional safety factor when reliable data available to EPA support </w:t>
      </w:r>
    </w:p>
    <w:p w14:paraId="5046025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the choice of a different factor.</w:t>
      </w:r>
    </w:p>
    <w:p w14:paraId="12B306B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2. Prenatal and postnatal sensitivity. There is no evidence of </w:t>
      </w:r>
    </w:p>
    <w:p w14:paraId="1056FBF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increased susceptibility following in utero exposure to metamitron in </w:t>
      </w:r>
    </w:p>
    <w:p w14:paraId="3F6671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either the rat or rabbit developmental toxicity studies up to the </w:t>
      </w:r>
    </w:p>
    <w:p w14:paraId="365650D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highest doses tested, and there is no evidence of increased </w:t>
      </w:r>
    </w:p>
    <w:p w14:paraId="0AAB23A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quantitative susceptibility following in utero and/or pre-/post-natal </w:t>
      </w:r>
    </w:p>
    <w:p w14:paraId="79CD15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exposure in the multi-generation reproduction studies in rats. All </w:t>
      </w:r>
    </w:p>
    <w:p w14:paraId="4B0D9B5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offspring effects were observed at the same or higher dose level than </w:t>
      </w:r>
    </w:p>
    <w:p w14:paraId="7A77D00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maternal toxicity. Evidence of qualitative sensitivity was demonstrated </w:t>
      </w:r>
    </w:p>
    <w:p w14:paraId="12CF2E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 a multigeneration reproductive toxicity study, as decreased </w:t>
      </w:r>
    </w:p>
    <w:p w14:paraId="6B769B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offspring survival was observed in the absence of comparable parental </w:t>
      </w:r>
    </w:p>
    <w:p w14:paraId="05DEFFD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toxicity. However, the concern is low as the sensitivity was observed </w:t>
      </w:r>
    </w:p>
    <w:p w14:paraId="70CBF80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at a higher dose level than the established LOAEL/NOAEL for the </w:t>
      </w:r>
    </w:p>
    <w:p w14:paraId="489212E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parental generation, a clear NOAEL/LOAEL has been established for the </w:t>
      </w:r>
    </w:p>
    <w:p w14:paraId="3AD5208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offspring generation, and all selected</w:t>
      </w:r>
    </w:p>
    <w:p w14:paraId="21D2ACD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CFC341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[[Page 11673]]</w:t>
      </w:r>
    </w:p>
    <w:p w14:paraId="18C0690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76B2EB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endpoints are protective of the qualitative sensitivity.</w:t>
      </w:r>
    </w:p>
    <w:p w14:paraId="6F9C282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3. Conclusion. EPA has determined that reliable data show the </w:t>
      </w:r>
    </w:p>
    <w:p w14:paraId="5987AE2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safety of infants and children would be adequately protected if the </w:t>
      </w:r>
    </w:p>
    <w:p w14:paraId="687216A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FQPA SF were reduced to 1X. That decision is based on the following </w:t>
      </w:r>
    </w:p>
    <w:p w14:paraId="1458973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findings:</w:t>
      </w:r>
    </w:p>
    <w:p w14:paraId="3F4435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i. The toxicity database for metamitron is complete and adequate to </w:t>
      </w:r>
    </w:p>
    <w:p w14:paraId="6E3A27B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characterize potential pre- and postnatal toxicity to infants and </w:t>
      </w:r>
    </w:p>
    <w:p w14:paraId="24ED71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children.</w:t>
      </w:r>
    </w:p>
    <w:p w14:paraId="2C74755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ii. Neurotoxicity (clinical signs and functional observational </w:t>
      </w:r>
    </w:p>
    <w:p w14:paraId="4DDB71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battery (FOB) findings) was observed following an acute exposure </w:t>
      </w:r>
    </w:p>
    <w:p w14:paraId="4388FED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(single dose) in both mice and rats. In a metabolism study, reduced </w:t>
      </w:r>
    </w:p>
    <w:p w14:paraId="79305E8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mobility and piloerection were observed after a single oral dose, but </w:t>
      </w:r>
    </w:p>
    <w:p w14:paraId="10E6FCC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effects resolved within 24 hours post-dosage. No additional </w:t>
      </w:r>
    </w:p>
    <w:p w14:paraId="648500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potentially neurotoxic effects were observed across the metamitron </w:t>
      </w:r>
    </w:p>
    <w:p w14:paraId="4E3637A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database, including the rat subchronic neurotoxicity study (SCN), at </w:t>
      </w:r>
    </w:p>
    <w:p w14:paraId="213FEF3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doses tested. The concern for neurotoxicity is low, as all selected </w:t>
      </w:r>
    </w:p>
    <w:p w14:paraId="228A61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PODs are protective of the adverse effects identified in the non-</w:t>
      </w:r>
    </w:p>
    <w:p w14:paraId="71CD846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guideline studies and the metabolism study.</w:t>
      </w:r>
    </w:p>
    <w:p w14:paraId="2A2771C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iii. There is no evidence that metamitron results in increased </w:t>
      </w:r>
    </w:p>
    <w:p w14:paraId="2354FAB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quantitative susceptibility in rats or rabbits in the prenatal </w:t>
      </w:r>
    </w:p>
    <w:p w14:paraId="06ADAB8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developmental studies. Evidence of qualitative sensitivity was </w:t>
      </w:r>
    </w:p>
    <w:p w14:paraId="2C0499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demonstrated in a multigeneration reproductive toxicity study, as </w:t>
      </w:r>
    </w:p>
    <w:p w14:paraId="1951160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decreased offspring survival was observed in the absence of comparable </w:t>
      </w:r>
    </w:p>
    <w:p w14:paraId="4CA23DA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parental toxicity. However, the concern is low as the sensitivity was </w:t>
      </w:r>
    </w:p>
    <w:p w14:paraId="15C1F17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observed at a higher dose level than the established LOAEL/NOAEL for </w:t>
      </w:r>
    </w:p>
    <w:p w14:paraId="6FE02CF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parental generation, a clear NOAEL/LOAEL has been established for </w:t>
      </w:r>
    </w:p>
    <w:p w14:paraId="779E38A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offspring generation, and all selected endpoints are protective of </w:t>
      </w:r>
    </w:p>
    <w:p w14:paraId="2657E38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the qualitative sensitivity.</w:t>
      </w:r>
    </w:p>
    <w:p w14:paraId="1915C2F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iv. There are no residual uncertainties identified in the exposure </w:t>
      </w:r>
    </w:p>
    <w:p w14:paraId="6D80C4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databases. The dietary food exposure assessments were performed based </w:t>
      </w:r>
    </w:p>
    <w:p w14:paraId="7FAC95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on 100 PCT, field trial level residues, and upper-bound estimates of </w:t>
      </w:r>
    </w:p>
    <w:p w14:paraId="203E74A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potential exposure through drinking water. EPA made conservative </w:t>
      </w:r>
    </w:p>
    <w:p w14:paraId="00FE6F8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(protective) assumptions in the ground and surface water modeling used </w:t>
      </w:r>
    </w:p>
    <w:p w14:paraId="4AE737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assess exposure to metamitron in drinking water. These assessments </w:t>
      </w:r>
    </w:p>
    <w:p w14:paraId="2C3295E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will not underestimate the exposure and risks posed by metamitron.</w:t>
      </w:r>
    </w:p>
    <w:p w14:paraId="6889A50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3D579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E. Aggregate Risks and Determination of Safety</w:t>
      </w:r>
    </w:p>
    <w:p w14:paraId="6C959E4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AC3426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EPA determines whether acute and chronic dietary pesticide </w:t>
      </w:r>
    </w:p>
    <w:p w14:paraId="74FC4D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exposures are safe by comparing aggregate exposure estimates to the </w:t>
      </w:r>
    </w:p>
    <w:p w14:paraId="1EC80F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acute PAD (aPAD) and chronic PAD (cPAD). For linear cancer risks, EPA </w:t>
      </w:r>
    </w:p>
    <w:p w14:paraId="1033926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calculates the lifetime probability of acquiring cancer given the </w:t>
      </w:r>
    </w:p>
    <w:p w14:paraId="0418D3F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estimated aggregate exposure. Short-, intermediate-, and chronic-term </w:t>
      </w:r>
    </w:p>
    <w:p w14:paraId="3187048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risks are evaluated by comparing the estimated aggregate food, water, </w:t>
      </w:r>
    </w:p>
    <w:p w14:paraId="7173A2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residential exposure to the appropriate PODs to ensure that an </w:t>
      </w:r>
    </w:p>
    <w:p w14:paraId="401DD23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adequate MOE exists.</w:t>
      </w:r>
    </w:p>
    <w:p w14:paraId="43EACEF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1. Acute risk. Using the exposure assumptions discussed in this </w:t>
      </w:r>
    </w:p>
    <w:p w14:paraId="3EAAF42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unit for acute exposure, the acute dietary exposure from food and water </w:t>
      </w:r>
    </w:p>
    <w:p w14:paraId="44358D2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metamitron will occupy 5.6% of the aPAD for all infants (&lt;1 year </w:t>
      </w:r>
    </w:p>
    <w:p w14:paraId="7891DD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old), the population group receiving the greatest exposure.</w:t>
      </w:r>
    </w:p>
    <w:p w14:paraId="22791E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2. Chronic risk. Using the exposure assumptions described in this </w:t>
      </w:r>
    </w:p>
    <w:p w14:paraId="19FAB9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unit for chronic exposure, EPA has concluded that chronic exposure to </w:t>
      </w:r>
    </w:p>
    <w:p w14:paraId="0CA9AE1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metamitron from food and water will utilize 5.3% of the cPAD for all </w:t>
      </w:r>
    </w:p>
    <w:p w14:paraId="5844682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infants (&lt;1 year old), the population group receiving the greatest </w:t>
      </w:r>
    </w:p>
    <w:p w14:paraId="3B0B6F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exposure. There are no residential uses for metamitron.</w:t>
      </w:r>
    </w:p>
    <w:p w14:paraId="5F95E4A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3. Short-term and intermediate-term risk. Short-term aggregate </w:t>
      </w:r>
    </w:p>
    <w:p w14:paraId="4B9CCD1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exposure takes into account short-term residential exposure plus </w:t>
      </w:r>
    </w:p>
    <w:p w14:paraId="2011AFC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chronic exposure to food and water (considered to be a background </w:t>
      </w:r>
    </w:p>
    <w:p w14:paraId="217A8D8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exposure level). Intermediate-term aggregate exposure takes into </w:t>
      </w:r>
    </w:p>
    <w:p w14:paraId="37E4E1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account intermediate-term residential exposure plus chronic exposure to </w:t>
      </w:r>
    </w:p>
    <w:p w14:paraId="70FA391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food and water (considered to be a background exposure level). Since </w:t>
      </w:r>
    </w:p>
    <w:p w14:paraId="551441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there are no proposed residential uses for metamitron that would result </w:t>
      </w:r>
    </w:p>
    <w:p w14:paraId="362BFA8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 short- or intermediate-term residential exposures, and chronic </w:t>
      </w:r>
    </w:p>
    <w:p w14:paraId="64FB96D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dietary exposure has already been assessed under the appropriately </w:t>
      </w:r>
    </w:p>
    <w:p w14:paraId="0D0B224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protective c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 xml:space="preserve">PAD (which is at least as protective as the POD used to </w:t>
      </w:r>
    </w:p>
    <w:p w14:paraId="625EE06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assess short- and intermediate-term risk), no further assessment of </w:t>
      </w:r>
    </w:p>
    <w:p w14:paraId="1F1CF5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short- or intermediate-term risk is necessary, and EPA relies on the </w:t>
      </w:r>
    </w:p>
    <w:p w14:paraId="25E90C0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chronic dietary risk assessment for evaluating short- and intermediate-</w:t>
      </w:r>
    </w:p>
    <w:p w14:paraId="35805C6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term risk for metamitron.</w:t>
      </w:r>
    </w:p>
    <w:p w14:paraId="43158E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4. Aggregate cancer risk for U.S. population. Based on the lack of </w:t>
      </w:r>
    </w:p>
    <w:p w14:paraId="4C2D366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evidence of carcinogenicity in two adequate rodent carcinogenicity </w:t>
      </w:r>
    </w:p>
    <w:p w14:paraId="2B5E18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studies and the low concern for mutagenic potential, metamitron is not </w:t>
      </w:r>
    </w:p>
    <w:p w14:paraId="5B40569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expected to pose a cancer risk to humans; therefore, a separate cancer </w:t>
      </w:r>
    </w:p>
    <w:p w14:paraId="13CD8E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assessment was not conducted.</w:t>
      </w:r>
    </w:p>
    <w:p w14:paraId="2B3E7B5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5. Determination of safety. Based on these risk assessments, EPA </w:t>
      </w:r>
    </w:p>
    <w:p w14:paraId="7090E3F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concludes that there is a reasonable certainty that no harm will result </w:t>
      </w:r>
    </w:p>
    <w:p w14:paraId="32B3AC5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the general population, or to infants and children from aggregate </w:t>
      </w:r>
    </w:p>
    <w:p w14:paraId="5157802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exposure to metamitron residues.</w:t>
      </w:r>
    </w:p>
    <w:p w14:paraId="24F5D45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EE301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IV. Other Considerations</w:t>
      </w:r>
    </w:p>
    <w:p w14:paraId="07F3194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13E61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A. Analytical Enforcement Methodology</w:t>
      </w:r>
    </w:p>
    <w:p w14:paraId="4BA9F43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EBE319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Adequate enforcement methodology (high-performance liquid </w:t>
      </w:r>
    </w:p>
    <w:p w14:paraId="5612D4D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chromatography with tandem mass spectrometry detection (LC/MS/MS) </w:t>
      </w:r>
    </w:p>
    <w:p w14:paraId="05281B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(Method SGS-17-01-03)) is available to enforce the tolerance </w:t>
      </w:r>
    </w:p>
    <w:p w14:paraId="5403925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expression. The method may be requested from: Chief, Analytical </w:t>
      </w:r>
    </w:p>
    <w:p w14:paraId="438AC4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Chemistry Branch, Environmental Science Center, 701 Mapes Rd., Ft. </w:t>
      </w:r>
    </w:p>
    <w:p w14:paraId="05C7348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Meade, MD 20755-5350; telephone number: (410) 305-2905; email address: </w:t>
      </w:r>
      <w:r>
        <w:rPr>
          <w:i w:val="0"/>
          <w:iCs w:val="0"/>
          <w:caps w:val="0"/>
          <w:spacing w:val="0"/>
        </w:rPr>
        <w:fldChar w:fldCharType="begin"/>
      </w:r>
      <w:r>
        <w:rPr>
          <w:i w:val="0"/>
          <w:iCs w:val="0"/>
          <w:caps w:val="0"/>
          <w:spacing w:val="0"/>
        </w:rPr>
        <w:instrText xml:space="preserve"> HYPERLINK "mailto:residuemethods@epa.gov" </w:instrText>
      </w:r>
      <w:r>
        <w:rPr>
          <w:i w:val="0"/>
          <w:iCs w:val="0"/>
          <w:caps w:val="0"/>
          <w:spacing w:val="0"/>
        </w:rPr>
        <w:fldChar w:fldCharType="separate"/>
      </w:r>
      <w:r>
        <w:rPr>
          <w:rStyle w:val="5"/>
          <w:i w:val="0"/>
          <w:iCs w:val="0"/>
          <w:caps w:val="0"/>
          <w:spacing w:val="0"/>
        </w:rPr>
        <w:t>residuemethods@epa.gov</w:t>
      </w:r>
      <w:r>
        <w:rPr>
          <w:i w:val="0"/>
          <w:iCs w:val="0"/>
          <w:caps w:val="0"/>
          <w:spacing w:val="0"/>
        </w:rPr>
        <w:fldChar w:fldCharType="end"/>
      </w:r>
      <w:r>
        <w:rPr>
          <w:i w:val="0"/>
          <w:iCs w:val="0"/>
          <w:caps w:val="0"/>
          <w:color w:val="000000"/>
          <w:spacing w:val="0"/>
        </w:rPr>
        <w:t>.</w:t>
      </w:r>
    </w:p>
    <w:p w14:paraId="73B0174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AAC262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B. International Residue Limits</w:t>
      </w:r>
    </w:p>
    <w:p w14:paraId="304FB3C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80356A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In making its tolerance decisions, EPA seeks to harmonize U.S. </w:t>
      </w:r>
    </w:p>
    <w:p w14:paraId="755B3F5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tolerances with international standards whenever possible, consistent </w:t>
      </w:r>
    </w:p>
    <w:p w14:paraId="584948B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with U.S. food safety standards and agricultural practices. EPA </w:t>
      </w:r>
    </w:p>
    <w:p w14:paraId="5A9271E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considers the international maximum residue limits (MRLs) established </w:t>
      </w:r>
    </w:p>
    <w:p w14:paraId="3DED522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by the Codex Alimentarius Commission (Codex), as required by FFDCA </w:t>
      </w:r>
    </w:p>
    <w:p w14:paraId="21A0609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section 408(b)(4). The Codex Alimentarius is a joint United Nations </w:t>
      </w:r>
    </w:p>
    <w:p w14:paraId="2826DCB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Food and Agriculture Organization/World Health Organization food </w:t>
      </w:r>
    </w:p>
    <w:p w14:paraId="009A31C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standards program, and it is recognized as an international food safety </w:t>
      </w:r>
    </w:p>
    <w:p w14:paraId="061EA79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standards-setting organization in trade agreements to which the United </w:t>
      </w:r>
    </w:p>
    <w:p w14:paraId="2247FA5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States is a party. EPA may establish a tolerance that is different from </w:t>
      </w:r>
    </w:p>
    <w:p w14:paraId="3BCE123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 Codex MRL; however, FFDCA section 408(b)(4) requires that EPA explain </w:t>
      </w:r>
    </w:p>
    <w:p w14:paraId="702CA8B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the reasons for departing from the Codex level.</w:t>
      </w:r>
    </w:p>
    <w:p w14:paraId="77D297A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The Codex has not established a MRL for metamitron.</w:t>
      </w:r>
    </w:p>
    <w:p w14:paraId="68076A4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7BA87E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V. Conclusion</w:t>
      </w:r>
    </w:p>
    <w:p w14:paraId="04C3DC3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81F40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Therefore, tolerances are established for residues of metamitron, </w:t>
      </w:r>
    </w:p>
    <w:p w14:paraId="21FF644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including its metabolites and degradates, in or on apple and pear at </w:t>
      </w:r>
    </w:p>
    <w:p w14:paraId="5CA4176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0.01 ppm.</w:t>
      </w:r>
    </w:p>
    <w:p w14:paraId="1CF9A7A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6C67BAB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VI. Statutory and Executive Order Reviews</w:t>
      </w:r>
    </w:p>
    <w:p w14:paraId="3F89D6E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8869B4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action establishes tolerances under FFDCA section 408(d) in </w:t>
      </w:r>
    </w:p>
    <w:p w14:paraId="7D5F87A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response to a petition submitted to the Agency. The Office of </w:t>
      </w:r>
    </w:p>
    <w:p w14:paraId="273D93E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Management and Budget (OMB) has exempted these types of actions from </w:t>
      </w:r>
    </w:p>
    <w:p w14:paraId="171F966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review under Executive Order 12866, entitled ``Regulatory Planning and </w:t>
      </w:r>
    </w:p>
    <w:p w14:paraId="7E796BE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Review'' (58 FR 51735, October 4, 1993). Because this action has been </w:t>
      </w:r>
    </w:p>
    <w:p w14:paraId="1077684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exempted from review under Executive Order 12866, this action is not </w:t>
      </w:r>
    </w:p>
    <w:p w14:paraId="3E97781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subject to Executive Order 13211, entitled ``Actions Concerning </w:t>
      </w:r>
    </w:p>
    <w:p w14:paraId="4A81517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Regulations That Significantly Affect Energy Supply, Distribution, or </w:t>
      </w:r>
    </w:p>
    <w:p w14:paraId="0AC280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Use'' (66 FR 28355, May 22, 2001) or Executive Order 13045, entitled </w:t>
      </w:r>
    </w:p>
    <w:p w14:paraId="136AB4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``Protection of</w:t>
      </w:r>
    </w:p>
    <w:p w14:paraId="5AA2959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F5654D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[[Page 11674]]</w:t>
      </w:r>
    </w:p>
    <w:p w14:paraId="6350E3F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9B5A5B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Children from Environmental Health Risks and Safety Risks'' (62 FR </w:t>
      </w:r>
    </w:p>
    <w:p w14:paraId="5F04E2D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19885, April 23, 1997). This action does not contain any information </w:t>
      </w:r>
    </w:p>
    <w:p w14:paraId="1AF09EF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collections subject to OMB approval under the Paperwork Reduction Act </w:t>
      </w:r>
    </w:p>
    <w:p w14:paraId="75DCFD9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(PRA) (44 U.S.C. 3501 et seq.).</w:t>
      </w:r>
    </w:p>
    <w:p w14:paraId="6D491C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Since tolerances and exemptions that are established on the basis </w:t>
      </w:r>
    </w:p>
    <w:p w14:paraId="3CA83BF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of a petition under FFDCA section 408(d), such as the tolerance in this </w:t>
      </w:r>
    </w:p>
    <w:p w14:paraId="78BD8A6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final rule, do not require the issuance of a proposed rule, the </w:t>
      </w:r>
    </w:p>
    <w:p w14:paraId="69B0888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requirements of the Regulatory Flexibility Act (RFA) (5 U.S.C. 601 et </w:t>
      </w:r>
    </w:p>
    <w:p w14:paraId="4E6FAAF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seq.), do not apply.</w:t>
      </w:r>
    </w:p>
    <w:p w14:paraId="7D7E0C7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action directly regulates growers, food processors, food </w:t>
      </w:r>
    </w:p>
    <w:p w14:paraId="4A9B980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handlers, and food retailers, not States or tribes, nor does this </w:t>
      </w:r>
    </w:p>
    <w:p w14:paraId="474BE83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action alter the relationships or distribution of power and </w:t>
      </w:r>
    </w:p>
    <w:p w14:paraId="0092484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responsibilities established by Congress in the preemption provisions </w:t>
      </w:r>
    </w:p>
    <w:p w14:paraId="402F74F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of FFDCA section 408(n)(4). As such, the Agency has determined that </w:t>
      </w:r>
    </w:p>
    <w:p w14:paraId="4B76AAC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this action will not have a substantial direct effect on States or </w:t>
      </w:r>
    </w:p>
    <w:p w14:paraId="5F5D8AA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Tribal governments, on the relationship between the national government </w:t>
      </w:r>
    </w:p>
    <w:p w14:paraId="4B72F5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the States or Tribal governments, or on the distribution of power </w:t>
      </w:r>
    </w:p>
    <w:p w14:paraId="7A6D3E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and responsibilities among the various levels of government or between </w:t>
      </w:r>
    </w:p>
    <w:p w14:paraId="27AA1E4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Federal Government and Indian tribes. Thus, the Agency has </w:t>
      </w:r>
    </w:p>
    <w:p w14:paraId="040FA92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determined that Executive Order 13132, entitled ``Federalism'' (64 FR </w:t>
      </w:r>
    </w:p>
    <w:p w14:paraId="636BD12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43255, August 10, 1999) and Executive Order 13175, entitled </w:t>
      </w:r>
    </w:p>
    <w:p w14:paraId="7C189FB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``Consultation and Coordination with Indian Tribal Governments'' (65 FR </w:t>
      </w:r>
    </w:p>
    <w:p w14:paraId="20658F87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67249, November 9, 2000) do not apply to this action. In addition, this </w:t>
      </w:r>
    </w:p>
    <w:p w14:paraId="107C77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action does not impose any enforceable duty or contain any unfunded </w:t>
      </w:r>
    </w:p>
    <w:p w14:paraId="2DA31C4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mandate as described under Title II of the Unfunded Mandates Reform Act </w:t>
      </w:r>
    </w:p>
    <w:p w14:paraId="4D680D1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(UMRA) (2 U.S.C. 1501 et seq.).</w:t>
      </w:r>
    </w:p>
    <w:p w14:paraId="599D61D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action does not involve any technical standards that would </w:t>
      </w:r>
    </w:p>
    <w:p w14:paraId="6605B5B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require Agency consideration of voluntary consensus standards pursuant </w:t>
      </w:r>
    </w:p>
    <w:p w14:paraId="676CB87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to section 12(d) of the National Technology Transfer and Advancement </w:t>
      </w:r>
    </w:p>
    <w:p w14:paraId="40198D3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Act (NTTAA) (15 U.S.C. 272 note).</w:t>
      </w:r>
    </w:p>
    <w:p w14:paraId="288F109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C57E3B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VII. Congressional Review Act (CRA)</w:t>
      </w:r>
    </w:p>
    <w:p w14:paraId="748AFAE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14CD23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This action is subject to the CRA (5 U.S.C. 801 et seq.), and EPA </w:t>
      </w:r>
    </w:p>
    <w:p w14:paraId="07842D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will submit a rule report to each House of the Congress and to the </w:t>
      </w:r>
    </w:p>
    <w:p w14:paraId="4FF5CC6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Comptroller General of the United States. This action is not a ``major </w:t>
      </w:r>
    </w:p>
    <w:p w14:paraId="6F5659D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rule'' as defined by 5 U.S.C. 804(2).</w:t>
      </w:r>
    </w:p>
    <w:p w14:paraId="718DFB2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474AABF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List of Subjects in 40 CFR Part 180</w:t>
      </w:r>
    </w:p>
    <w:p w14:paraId="467D8E1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1AA26F6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Environmental protection, Administrative practice and procedure, </w:t>
      </w:r>
    </w:p>
    <w:p w14:paraId="582E42D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Agricultural commodities, Pesticides and pests, Reporting and </w:t>
      </w:r>
    </w:p>
    <w:p w14:paraId="365A15E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recordkeeping requirements.</w:t>
      </w:r>
    </w:p>
    <w:p w14:paraId="7AD40C5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0302A66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Dated: March 3, 2025.</w:t>
      </w:r>
    </w:p>
    <w:p w14:paraId="2FE3087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Edward Messina,</w:t>
      </w:r>
    </w:p>
    <w:p w14:paraId="2B91468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Director, Office of Pesticide Programs.</w:t>
      </w:r>
    </w:p>
    <w:p w14:paraId="55EA20E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4164F5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Therefore, for the reasons stated in the preamble, EPA is amending </w:t>
      </w:r>
    </w:p>
    <w:p w14:paraId="5A00F74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40 CFR chapter I as follows:</w:t>
      </w:r>
    </w:p>
    <w:p w14:paraId="69F7E3B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66E066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PART 180--TOLERANCES AND EXEMPTIONS FOR PESTICIDE CHEMICAL RESIDUES </w:t>
      </w:r>
    </w:p>
    <w:p w14:paraId="48F6A15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IN FOOD</w:t>
      </w:r>
    </w:p>
    <w:p w14:paraId="72CC637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E1581E8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0</w:t>
      </w:r>
    </w:p>
    <w:p w14:paraId="549F0FB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1. The authority citation for part 180 continues to read as follows:</w:t>
      </w:r>
    </w:p>
    <w:p w14:paraId="48A5CF44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3B2FD0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Authority: 21 U.S.C. 321(q), 346a and 371.</w:t>
      </w:r>
    </w:p>
    <w:p w14:paraId="04BC031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2. In Sec.  180.726, add paragraph (a) to read as follows:</w:t>
      </w:r>
    </w:p>
    <w:p w14:paraId="48333B3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295F2809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E86EF2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Sec.  180.726  Metamitron; tolerances for residues.</w:t>
      </w:r>
    </w:p>
    <w:p w14:paraId="7CE2D412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7C8060E0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(a) General. Tolerances are established for residues of the </w:t>
      </w:r>
    </w:p>
    <w:p w14:paraId="281E780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herbicide metamitron, including its metabolites and degradates, in or </w:t>
      </w:r>
    </w:p>
    <w:p w14:paraId="7B763EA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on the commodities in table 1 to this paragraph (a). Compliance with </w:t>
      </w:r>
    </w:p>
    <w:p w14:paraId="23E5449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the tolerance levels specified in table 1 to this paragraph (a) is to </w:t>
      </w:r>
    </w:p>
    <w:p w14:paraId="138A11EC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be determined by measuring residues of metamitron (4-amino-3-methyl-6-</w:t>
      </w:r>
    </w:p>
    <w:p w14:paraId="5A387C8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phenyl-1,2,4-triazin-5(4H)-one) in or on the following commodities:</w:t>
      </w:r>
    </w:p>
    <w:p w14:paraId="255D476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529499F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BCC5BDD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AF9E501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                    </w:t>
      </w:r>
      <w:bookmarkStart w:id="0" w:name="_GoBack"/>
      <w:bookmarkEnd w:id="0"/>
      <w:r>
        <w:rPr>
          <w:i w:val="0"/>
          <w:iCs w:val="0"/>
          <w:caps w:val="0"/>
          <w:color w:val="000000"/>
          <w:spacing w:val="0"/>
        </w:rPr>
        <w:t>Table 1 to Paragraph (a)</w:t>
      </w:r>
    </w:p>
    <w:p w14:paraId="7B3EB2B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---------------------------------------------------------------------                                                      </w:t>
      </w:r>
    </w:p>
    <w:p w14:paraId="51664F47">
      <w:pPr>
        <w:pStyle w:val="2"/>
        <w:keepNext w:val="0"/>
        <w:keepLines w:val="0"/>
        <w:widowControl/>
        <w:suppressLineNumbers w:val="0"/>
        <w:ind w:left="240" w:hanging="240" w:hangingChars="100"/>
        <w:jc w:val="right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Parts per</w:t>
      </w:r>
      <w:r>
        <w:rPr>
          <w:rFonts w:hint="eastAsia"/>
          <w:i w:val="0"/>
          <w:iCs w:val="0"/>
          <w:caps w:val="0"/>
          <w:color w:val="000000"/>
          <w:spacing w:val="0"/>
          <w:lang w:val="en-US" w:eastAsia="zh-CN"/>
        </w:rPr>
        <w:t xml:space="preserve"> </w:t>
      </w:r>
      <w:r>
        <w:rPr>
          <w:i w:val="0"/>
          <w:iCs w:val="0"/>
          <w:caps w:val="0"/>
          <w:color w:val="000000"/>
          <w:spacing w:val="0"/>
        </w:rPr>
        <w:t>million</w:t>
      </w:r>
    </w:p>
    <w:p w14:paraId="43382C79">
      <w:pPr>
        <w:pStyle w:val="2"/>
        <w:keepNext w:val="0"/>
        <w:keepLines w:val="0"/>
        <w:widowControl/>
        <w:suppressLineNumbers w:val="0"/>
        <w:ind w:left="0" w:firstLine="6240" w:firstLineChars="2600"/>
        <w:rPr>
          <w:i w:val="0"/>
          <w:iCs w:val="0"/>
          <w:caps w:val="0"/>
          <w:color w:val="000000"/>
          <w:spacing w:val="0"/>
        </w:rPr>
      </w:pPr>
    </w:p>
    <w:p w14:paraId="5C37843B">
      <w:pPr>
        <w:pStyle w:val="2"/>
        <w:keepNext w:val="0"/>
        <w:keepLines w:val="0"/>
        <w:widowControl/>
        <w:suppressLineNumbers w:val="0"/>
        <w:ind w:left="240" w:hanging="240" w:hangingChars="10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 xml:space="preserve">                          Commodity                             </w:t>
      </w:r>
    </w:p>
    <w:p w14:paraId="198DB5D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0D256395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Apple....................................................       0.01</w:t>
      </w:r>
    </w:p>
    <w:p w14:paraId="65FC11AB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Pear.....................................................       0.01</w:t>
      </w:r>
    </w:p>
    <w:p w14:paraId="3069E3D3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------------------------------------------------------------------------</w:t>
      </w:r>
    </w:p>
    <w:p w14:paraId="43FF9E2A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124D669E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  <w:r>
        <w:rPr>
          <w:i w:val="0"/>
          <w:iCs w:val="0"/>
          <w:caps w:val="0"/>
          <w:color w:val="000000"/>
          <w:spacing w:val="0"/>
        </w:rPr>
        <w:t>* * * * *</w:t>
      </w:r>
    </w:p>
    <w:p w14:paraId="7B18532F">
      <w:pPr>
        <w:pStyle w:val="2"/>
        <w:keepNext w:val="0"/>
        <w:keepLines w:val="0"/>
        <w:widowControl/>
        <w:suppressLineNumbers w:val="0"/>
        <w:ind w:left="0" w:firstLine="0"/>
        <w:rPr>
          <w:i w:val="0"/>
          <w:iCs w:val="0"/>
          <w:caps w:val="0"/>
          <w:color w:val="000000"/>
          <w:spacing w:val="0"/>
        </w:rPr>
      </w:pPr>
    </w:p>
    <w:p w14:paraId="3CF2A11F"/>
    <w:sectPr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2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200247B" w:usb2="00000009" w:usb3="00000000" w:csb0="2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00"/>
  <w:embedSystemFonts/>
  <w:bordersDoNotSurroundHeader w:val="0"/>
  <w:bordersDoNotSurroundFooter w:val="0"/>
  <w:documentProtection w:enforcement="0"/>
  <w:defaultTabStop w:val="420"/>
  <w:drawingGridVerticalSpacing w:val="156"/>
  <w:displayHorizontalDrawingGridEvery w:val="1"/>
  <w:displayVerticalDrawingGridEvery w:val="1"/>
  <w:noPunctuationKerning w:val="1"/>
  <w:characterSpacingControl w:val="compressPunctuation"/>
  <w:compat>
    <w:spaceForUL/>
    <w:balanceSingleByteDoubleByteWidth/>
    <w:doNotLeaveBackslashAlone/>
    <w:ulTrailSpace/>
    <w:doNotExpandShiftReturn/>
    <w:adjustLineHeightInTable/>
    <w:doNotWrapTextWithPunct/>
    <w:doNotUseEastAsianBreakRules/>
    <w:useFELayout/>
    <w:doNotUseIndentAsNumberingTabStop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00000"/>
    <w:rsid w:val="7C223FC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="Times New Roman" w:hAnsi="Times New Roman" w:eastAsia="宋体" w:cs="Times New Roman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widowControl w:val="0"/>
      <w:jc w:val="both"/>
    </w:pPr>
    <w:rPr>
      <w:rFonts w:asciiTheme="minorHAnsi" w:hAnsiTheme="minorHAnsi" w:eastAsiaTheme="minorEastAsia" w:cstheme="minorBidi"/>
      <w:kern w:val="2"/>
      <w:sz w:val="21"/>
      <w:szCs w:val="24"/>
      <w:lang w:val="en-US" w:eastAsia="zh-CN" w:bidi="ar-SA"/>
    </w:rPr>
  </w:style>
  <w:style w:type="character" w:default="1" w:styleId="4">
    <w:name w:val="Default Paragraph Font"/>
    <w:semiHidden/>
    <w:qFormat/>
    <w:uiPriority w:val="0"/>
  </w:style>
  <w:style w:type="table" w:default="1" w:styleId="3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2">
    <w:name w:val="HTML Preformatted"/>
    <w:basedOn w:val="1"/>
    <w:uiPriority w:val="0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jc w:val="left"/>
    </w:pPr>
    <w:rPr>
      <w:rFonts w:hint="eastAsia" w:ascii="宋体" w:hAnsi="宋体" w:eastAsia="宋体" w:cs="宋体"/>
      <w:kern w:val="0"/>
      <w:sz w:val="24"/>
      <w:szCs w:val="24"/>
      <w:lang w:val="en-US" w:eastAsia="zh-CN" w:bidi="ar"/>
    </w:rPr>
  </w:style>
  <w:style w:type="character" w:styleId="5">
    <w:name w:val="Hyperlink"/>
    <w:basedOn w:val="4"/>
    <w:uiPriority w:val="0"/>
    <w:rPr>
      <w:color w:val="0000FF"/>
      <w:u w:val="single"/>
    </w:rPr>
  </w:style>
</w:styles>
</file>

<file path=word/_rels/document.xml.rels><?xml version="1.0" encoding="UTF-8" standalone="yes"?>
<Relationships xmlns="http://schemas.openxmlformats.org/package/2006/relationships"><Relationship Id="rId4" Type="http://schemas.openxmlformats.org/officeDocument/2006/relationships/fontTable" Target="fontTable.xml"/><Relationship Id="rId3" Type="http://schemas.openxmlformats.org/officeDocument/2006/relationships/theme" Target="theme/theme1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13</Pages>
  <Words>0</Words>
  <Characters>0</Characters>
  <Lines>0</Lines>
  <Paragraphs>0</Paragraphs>
  <TotalTime>2</TotalTime>
  <ScaleCrop>false</ScaleCrop>
  <LinksUpToDate>false</LinksUpToDate>
  <CharactersWithSpaces>0</CharactersWithSpaces>
  <Application>WPS Office_12.1.0.20305_F1E327BC-269C-435d-A152-05C5408002CA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2025-03-26T03:24:15Z</dcterms:created>
  <dc:creator>Lenovo</dc:creator>
  <cp:lastModifiedBy>欢喜葡萄</cp:lastModifiedBy>
  <dcterms:modified xsi:type="dcterms:W3CDTF">2025-03-26T03:26:43Z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2052-12.1.0.20305</vt:lpwstr>
  </property>
  <property fmtid="{D5CDD505-2E9C-101B-9397-08002B2CF9AE}" pid="3" name="KSOTemplateDocerSaveRecord">
    <vt:lpwstr>eyJoZGlkIjoiN2ZlMWVkNmE0ODNiM2U0OWY5MTNiMWY0OTk5NGU3NGUiLCJ1c2VySWQiOiIxMzg2NzY4MTY1In0=</vt:lpwstr>
  </property>
  <property fmtid="{D5CDD505-2E9C-101B-9397-08002B2CF9AE}" pid="4" name="ICV">
    <vt:lpwstr>E1513CB166964FABA942BDFB51110256_12</vt:lpwstr>
  </property>
</Properties>
</file>