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ABB6AF3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1AAC7DB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302A9F1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83E6F32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1E3CB9B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46E35D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65EA03A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735C25C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(SENASA)</w:t>
            </w:r>
          </w:p>
        </w:tc>
      </w:tr>
      <w:tr w14:paraId="2F2FE86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3143A98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A18A99E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Frejol adzuki , "</w:t>
            </w:r>
            <w:r w:rsidRPr="00A834A1">
              <w:rPr>
                <w:i/>
                <w:iCs/>
              </w:rPr>
              <w:t>Vigna angularis"</w:t>
            </w:r>
            <w:r w:rsidRPr="00A834A1">
              <w:t>, seca (Código SA: 071332) y Frejol caupí "</w:t>
            </w:r>
            <w:r w:rsidRPr="00A834A1">
              <w:rPr>
                <w:i/>
                <w:iCs/>
              </w:rPr>
              <w:t>Vigna unguiculata</w:t>
            </w:r>
            <w:r w:rsidRPr="00A834A1">
              <w:t>", (Código SA: 071335)</w:t>
            </w:r>
          </w:p>
        </w:tc>
      </w:tr>
      <w:tr w14:paraId="604D213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BF4186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E59F95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CBF867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A95CFA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Brasil</w:t>
            </w:r>
          </w:p>
        </w:tc>
      </w:tr>
      <w:tr w14:paraId="209AC5A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A016267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228CE33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Directoral para el establecimiento de requisitos fitosanitarios de necesario cumplimiento en la importación de frejol caupí (</w:t>
            </w:r>
            <w:r w:rsidRPr="00A834A1">
              <w:rPr>
                <w:i/>
                <w:iCs/>
              </w:rPr>
              <w:t>Vigna unguiculata</w:t>
            </w:r>
            <w:r w:rsidRPr="00A834A1">
              <w:t>) y frejol adzuki (</w:t>
            </w:r>
            <w:r w:rsidRPr="00A834A1">
              <w:rPr>
                <w:i/>
                <w:iCs/>
              </w:rPr>
              <w:t>Vigna angularis</w:t>
            </w:r>
            <w:r w:rsidRPr="00A834A1">
              <w:t>) de origen y procedencia Brasil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DA2000" w14:paraId="227B70FE" w14:textId="77777777">
            <w:pPr>
              <w:spacing w:after="120"/>
            </w:pPr>
            <w:r w:rsidRPr="00DA2000">
              <w:t xml:space="preserve">Otros documentos pertinentes e idioma(s) en que están disponibles: </w:t>
            </w:r>
          </w:p>
          <w:p w:rsidR="00B91FF3" w:rsidRPr="00DA2000" w:rsidP="00DA2000" w14:paraId="74AA7A7D" w14:textId="77777777">
            <w:r w:rsidRPr="00DA2000">
              <w:t>El texto lo puede descargar de la página web del SENASA, cuya ruta es la siguiente:</w:t>
            </w:r>
          </w:p>
          <w:p w:rsidR="00B91FF3" w:rsidRPr="00DA2000" w:rsidP="00DA2000" w14:paraId="281F68C9" w14:textId="6153EF39"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https://www.gob.pe/institucion/senasa/campa%C3%B1as/4831-consulta-publica-de-importaciones-agricolas</w:t>
              </w:r>
            </w:hyperlink>
            <w:r w:rsidR="00723D2F">
              <w:t xml:space="preserve"> </w:t>
            </w:r>
            <w:r w:rsidRPr="00DA2000" w:rsidR="00723D2F">
              <w:t>(disponible en español)</w:t>
            </w:r>
          </w:p>
          <w:p w:rsidR="00B91FF3" w:rsidRPr="00DA2000" w:rsidP="00DA2000" w14:paraId="5803B099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https://members.wto.org/crnattachments/2025/SPS/PER/25_02129_00_s.pdf</w:t>
              </w:r>
            </w:hyperlink>
          </w:p>
        </w:tc>
      </w:tr>
      <w:tr w14:paraId="0926B75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C9DA35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68FE3E5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Se pone a consulta pública el proyecto de Resolución Directoral que establece los requisitos fitosanitarios para la importación al Perú de frejol caupí (</w:t>
            </w:r>
            <w:r w:rsidRPr="00A834A1">
              <w:rPr>
                <w:i/>
                <w:iCs/>
              </w:rPr>
              <w:t>Vigna unguiculata</w:t>
            </w:r>
            <w:r w:rsidRPr="00A834A1">
              <w:t>) y frejol adzuki (</w:t>
            </w:r>
            <w:r w:rsidRPr="00A834A1">
              <w:rPr>
                <w:i/>
                <w:iCs/>
              </w:rPr>
              <w:t>Vigna angularis</w:t>
            </w:r>
            <w:r w:rsidRPr="00A834A1">
              <w:t>) de origen y procedencia Brasil, una vez finalizado el análisis de riesgo de plagas correspondiente.</w:t>
            </w:r>
          </w:p>
        </w:tc>
      </w:tr>
      <w:tr w14:paraId="360C09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D5339E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CE205F9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12D370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6CB0C4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6A3C715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441933B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 xml:space="preserve">(por ejemplo, título o </w:t>
            </w:r>
            <w:r w:rsidRPr="00DA2000">
              <w:rPr>
                <w:b/>
                <w:i/>
              </w:rPr>
              <w:t>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5E0D69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723D2F" w14:paraId="6D94DE54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2, 11, 20 y 21.</w:t>
            </w:r>
          </w:p>
          <w:p w:rsidR="00B91FF3" w:rsidRPr="00DA2000" w:rsidP="00DA2000" w14:paraId="0322324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1F0A27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1796928C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0680B60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1DB527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49FF3C9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7584EFF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D2D6EC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5F7AA86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955A3D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757BE5D7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65037B2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2FFA3EE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440C0E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partir de su publicación en el diario Oficial El Peruano.</w:t>
            </w:r>
          </w:p>
          <w:p w:rsidR="00B91FF3" w:rsidRPr="00DA2000" w:rsidP="00DA2000" w14:paraId="2335E0F2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8692E5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1978B50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DC84C3C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14 de abril de 2025</w:t>
            </w:r>
          </w:p>
          <w:p w:rsidR="00B91FF3" w:rsidRPr="00DA2000" w:rsidP="00DA2000" w14:paraId="48218146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3F68B8C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0623F6F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2CC5DAB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</w:t>
            </w:r>
            <w:r w:rsidRPr="00DA2000">
              <w:rPr>
                <w:b/>
              </w:rPr>
              <w:t>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E7812" w:rsidRPr="00A834A1" w:rsidP="000D29D0" w14:paraId="3D6368EE" w14:textId="77777777">
            <w:pPr>
              <w:keepNext/>
              <w:keepLines/>
            </w:pPr>
            <w:r w:rsidRPr="00A834A1">
              <w:t>Puede solicitar el documento a:</w:t>
            </w:r>
          </w:p>
          <w:p w:rsidR="004E7812" w:rsidRPr="00A834A1" w:rsidP="000D29D0" w14:paraId="29BD47E2" w14:textId="77777777">
            <w:pPr>
              <w:keepNext/>
              <w:keepLines/>
            </w:pPr>
            <w:r w:rsidRPr="00A834A1">
              <w:t>Ing. Nely Pillpe Wilcas Marquez</w:t>
            </w:r>
          </w:p>
          <w:p w:rsidR="004E7812" w:rsidRPr="00A834A1" w:rsidP="000D29D0" w14:paraId="5D7B5F46" w14:textId="77777777">
            <w:pPr>
              <w:keepNext/>
              <w:keepLines/>
            </w:pPr>
            <w:r w:rsidRPr="00A834A1">
              <w:t>Directora (e) de Cuarentena Vegetal SENASA</w:t>
            </w:r>
          </w:p>
          <w:p w:rsidR="004E7812" w:rsidRPr="00A834A1" w:rsidP="000D29D0" w14:paraId="6102E6C8" w14:textId="77777777">
            <w:pPr>
              <w:keepNext/>
              <w:keepLines/>
            </w:pPr>
            <w:r w:rsidRPr="00A834A1">
              <w:t>Av. La Molina Nº 1915, Lima 12, Lima, Perú</w:t>
            </w:r>
          </w:p>
          <w:p w:rsidR="004E7812" w:rsidRPr="00A834A1" w:rsidP="000D29D0" w14:paraId="475C6524" w14:textId="77777777">
            <w:pPr>
              <w:keepNext/>
              <w:keepLines/>
            </w:pPr>
            <w:r w:rsidRPr="00A834A1">
              <w:t>Tel: +(511) 313 3300, anexo 6142</w:t>
            </w:r>
          </w:p>
          <w:p w:rsidR="004E7812" w:rsidRPr="00A834A1" w:rsidP="000D29D0" w14:paraId="3EA0F1CA" w14:textId="77777777">
            <w:pPr>
              <w:keepNext/>
              <w:keepLines/>
              <w:spacing w:after="120"/>
            </w:pPr>
            <w:r w:rsidRPr="00A834A1">
              <w:t xml:space="preserve">Correos electrónicos: </w:t>
            </w:r>
            <w:hyperlink r:id="rId6" w:history="1">
              <w:r w:rsidRPr="00A834A1">
                <w:rPr>
                  <w:color w:val="0000FF"/>
                  <w:u w:val="single"/>
                </w:rPr>
                <w:t>nwilcas@senasa.gob.pe</w:t>
              </w:r>
            </w:hyperlink>
            <w:r w:rsidRPr="00A834A1">
              <w:t xml:space="preserve">, </w:t>
            </w:r>
            <w:hyperlink r:id="rId7" w:history="1">
              <w:r w:rsidRPr="00A834A1">
                <w:rPr>
                  <w:color w:val="0000FF"/>
                  <w:u w:val="single"/>
                </w:rPr>
                <w:t>notificacionesmsf@senasa.gob.pe</w:t>
              </w:r>
            </w:hyperlink>
          </w:p>
        </w:tc>
      </w:tr>
    </w:tbl>
    <w:p w:rsidR="00337700" w:rsidRPr="00DA2000" w:rsidP="00DA2000" w14:paraId="2F86C2A7" w14:textId="77777777"/>
    <w:sectPr w:rsidSect="00D426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42633" w:rsidP="00D42633" w14:paraId="44491FA6" w14:textId="6F0E614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42633" w:rsidP="00D42633" w14:paraId="4E47483D" w14:textId="271DC1D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132681D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42633" w:rsidRPr="00D42633" w:rsidP="00D42633" w14:paraId="7FDABE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42633">
      <w:t>G/SPS/N/PER/1078</w:t>
    </w:r>
  </w:p>
  <w:p w:rsidR="00D42633" w:rsidRPr="00D42633" w:rsidP="00D42633" w14:paraId="34B972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42633" w:rsidRPr="00D42633" w:rsidP="00D42633" w14:paraId="548ADD24" w14:textId="05DAC4B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42633">
      <w:t xml:space="preserve">- </w:t>
    </w:r>
    <w:r w:rsidRPr="00D42633">
      <w:fldChar w:fldCharType="begin"/>
    </w:r>
    <w:r w:rsidRPr="00D42633">
      <w:instrText xml:space="preserve"> PAGE </w:instrText>
    </w:r>
    <w:r w:rsidRPr="00D42633">
      <w:fldChar w:fldCharType="separate"/>
    </w:r>
    <w:r w:rsidRPr="00D42633">
      <w:t>2</w:t>
    </w:r>
    <w:r w:rsidRPr="00D42633">
      <w:fldChar w:fldCharType="end"/>
    </w:r>
    <w:r w:rsidRPr="00D42633">
      <w:t xml:space="preserve"> -</w:t>
    </w:r>
  </w:p>
  <w:p w:rsidR="00B91FF3" w:rsidRPr="00D42633" w:rsidP="00D42633" w14:paraId="02E86ACE" w14:textId="2ED5A0E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42633" w:rsidRPr="00D42633" w:rsidP="00D42633" w14:paraId="146134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42633">
      <w:t>G/SPS/N/PER/1078</w:t>
    </w:r>
  </w:p>
  <w:p w:rsidR="00D42633" w:rsidRPr="00D42633" w:rsidP="00D42633" w14:paraId="6F7677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42633" w:rsidRPr="00D42633" w:rsidP="00D42633" w14:paraId="454447D3" w14:textId="7022507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42633">
      <w:t xml:space="preserve">- </w:t>
    </w:r>
    <w:r w:rsidRPr="00D42633">
      <w:fldChar w:fldCharType="begin"/>
    </w:r>
    <w:r w:rsidRPr="00D42633">
      <w:instrText xml:space="preserve"> PAGE </w:instrText>
    </w:r>
    <w:r w:rsidRPr="00D42633">
      <w:fldChar w:fldCharType="separate"/>
    </w:r>
    <w:r w:rsidRPr="00D42633">
      <w:rPr>
        <w:noProof/>
      </w:rPr>
      <w:t>2</w:t>
    </w:r>
    <w:r w:rsidRPr="00D42633">
      <w:fldChar w:fldCharType="end"/>
    </w:r>
    <w:r w:rsidRPr="00D42633">
      <w:t xml:space="preserve"> -</w:t>
    </w:r>
  </w:p>
  <w:p w:rsidR="00DD65B2" w:rsidRPr="00D42633" w:rsidP="00D42633" w14:paraId="7E4B51FE" w14:textId="15B7BFC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1BCDBA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4DD742A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EBE3325" w14:textId="6FC34544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AA08BF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5433489" w14:textId="10B0484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E4365AD" w14:textId="77777777">
          <w:pPr>
            <w:jc w:val="right"/>
            <w:rPr>
              <w:b/>
              <w:szCs w:val="18"/>
            </w:rPr>
          </w:pPr>
        </w:p>
      </w:tc>
    </w:tr>
    <w:tr w14:paraId="7FC1D27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C27699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42633" w:rsidP="00043017" w14:paraId="6E5AFF33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G/SPS/N/PER/1078</w:t>
          </w:r>
        </w:p>
        <w:bookmarkEnd w:id="1"/>
        <w:p w:rsidR="00043017" w:rsidRPr="00B91FF3" w:rsidP="00043017" w14:paraId="5CA9F8FC" w14:textId="2970FB07">
          <w:pPr>
            <w:jc w:val="right"/>
            <w:rPr>
              <w:b/>
              <w:szCs w:val="18"/>
            </w:rPr>
          </w:pPr>
        </w:p>
      </w:tc>
    </w:tr>
    <w:tr w14:paraId="4EF36CF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9B3B67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E6B8C5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14 de marzo de 2025</w:t>
          </w:r>
          <w:bookmarkEnd w:id="3"/>
        </w:p>
      </w:tc>
    </w:tr>
    <w:tr w14:paraId="42421995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BA7787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(25-1867)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2C59DC4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328F06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CDC3780" w14:textId="32D5F7D0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74A298E" w14:textId="7B27EBE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49B3B4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3329130">
    <w:abstractNumId w:val="8"/>
  </w:num>
  <w:num w:numId="2" w16cid:durableId="182209074">
    <w:abstractNumId w:val="3"/>
  </w:num>
  <w:num w:numId="3" w16cid:durableId="1531146478">
    <w:abstractNumId w:val="2"/>
  </w:num>
  <w:num w:numId="4" w16cid:durableId="1527019654">
    <w:abstractNumId w:val="1"/>
  </w:num>
  <w:num w:numId="5" w16cid:durableId="109131971">
    <w:abstractNumId w:val="0"/>
  </w:num>
  <w:num w:numId="6" w16cid:durableId="988902234">
    <w:abstractNumId w:val="13"/>
  </w:num>
  <w:num w:numId="7" w16cid:durableId="720666160">
    <w:abstractNumId w:val="11"/>
  </w:num>
  <w:num w:numId="8" w16cid:durableId="648443513">
    <w:abstractNumId w:val="14"/>
  </w:num>
  <w:num w:numId="9" w16cid:durableId="1189949702">
    <w:abstractNumId w:val="10"/>
  </w:num>
  <w:num w:numId="10" w16cid:durableId="1193767860">
    <w:abstractNumId w:val="9"/>
  </w:num>
  <w:num w:numId="11" w16cid:durableId="1974560093">
    <w:abstractNumId w:val="7"/>
  </w:num>
  <w:num w:numId="12" w16cid:durableId="366029410">
    <w:abstractNumId w:val="6"/>
  </w:num>
  <w:num w:numId="13" w16cid:durableId="896937609">
    <w:abstractNumId w:val="5"/>
  </w:num>
  <w:num w:numId="14" w16cid:durableId="58552580">
    <w:abstractNumId w:val="4"/>
  </w:num>
  <w:num w:numId="15" w16cid:durableId="915867143">
    <w:abstractNumId w:val="12"/>
  </w:num>
  <w:num w:numId="16" w16cid:durableId="126603408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E7812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3D2F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5A0E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42633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C52E9D"/>
  <w15:docId w15:val="{9F7AA1AE-C510-4DA1-A394-5C0E77D46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b.pe/institucion/senasa/campa%C3%B1as/4831-consulta-publica-de-importaciones-agricolas" TargetMode="External" /><Relationship Id="rId5" Type="http://schemas.openxmlformats.org/officeDocument/2006/relationships/hyperlink" Target="https://members.wto.org/crnattachments/2025/SPS/PER/25_02129_00_s.pdf" TargetMode="External" /><Relationship Id="rId6" Type="http://schemas.openxmlformats.org/officeDocument/2006/relationships/hyperlink" Target="mailto:nwilcas@senasa.gob.pe" TargetMode="External" /><Relationship Id="rId7" Type="http://schemas.openxmlformats.org/officeDocument/2006/relationships/hyperlink" Target="mailto:notificacionesmsf@senasa.gob.p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3</cp:revision>
  <dcterms:created xsi:type="dcterms:W3CDTF">2025-03-14T14:31:00Z</dcterms:created>
  <dcterms:modified xsi:type="dcterms:W3CDTF">2025-03-14T14:32:00Z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G/SPS/N/PER/1078</vt:lpwstr>
  </property>
</Properties>
</file>