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56B38">
      <w:pPr>
        <w:pStyle w:val="6"/>
        <w:jc w:val="center"/>
        <w:rPr>
          <w:lang w:eastAsia="zh-CN"/>
        </w:rPr>
      </w:pPr>
      <w:r>
        <w:rPr>
          <w:rFonts w:hint="eastAsia" w:ascii="宋体" w:hAnsi="宋体" w:eastAsia="宋体" w:cs="宋体"/>
          <w:lang w:eastAsia="zh-CN"/>
        </w:rPr>
        <w:t>修订</w:t>
      </w:r>
      <w:r>
        <w:rPr>
          <w:rFonts w:hint="eastAsia" w:ascii="宋体" w:hAnsi="宋体" w:eastAsia="宋体" w:cs="宋体"/>
          <w:lang w:val="en-US" w:eastAsia="zh-CN"/>
        </w:rPr>
        <w:t>灭</w:t>
      </w:r>
      <w:r>
        <w:rPr>
          <w:rFonts w:hint="eastAsia" w:ascii="宋体" w:hAnsi="宋体" w:eastAsia="宋体" w:cs="宋体"/>
          <w:lang w:eastAsia="zh-CN"/>
        </w:rPr>
        <w:t>菌或过滤</w:t>
      </w:r>
      <w:r>
        <w:rPr>
          <w:rFonts w:hint="eastAsia" w:ascii="宋体" w:hAnsi="宋体" w:eastAsia="宋体" w:cs="宋体"/>
          <w:lang w:val="en-US" w:eastAsia="zh-CN"/>
        </w:rPr>
        <w:t>灭</w:t>
      </w:r>
      <w:r>
        <w:rPr>
          <w:rFonts w:hint="eastAsia" w:ascii="宋体" w:hAnsi="宋体" w:eastAsia="宋体" w:cs="宋体"/>
          <w:lang w:eastAsia="zh-CN"/>
        </w:rPr>
        <w:t>菌</w:t>
      </w:r>
      <w:r>
        <w:rPr>
          <w:rFonts w:hint="eastAsia" w:ascii="宋体" w:hAnsi="宋体" w:eastAsia="宋体" w:cs="宋体"/>
          <w:lang w:val="en-US" w:eastAsia="zh-CN"/>
        </w:rPr>
        <w:t>矿</w:t>
      </w:r>
      <w:r>
        <w:rPr>
          <w:rFonts w:hint="eastAsia" w:ascii="宋体" w:hAnsi="宋体" w:eastAsia="宋体" w:cs="宋体"/>
          <w:lang w:eastAsia="zh-CN"/>
        </w:rPr>
        <w:t>泉水规范</w:t>
      </w:r>
    </w:p>
    <w:p w14:paraId="73D578D2">
      <w:pPr>
        <w:pStyle w:val="3"/>
        <w:spacing w:before="7"/>
        <w:rPr>
          <w:b/>
          <w:sz w:val="27"/>
          <w:lang w:eastAsia="zh-CN"/>
        </w:rPr>
      </w:pPr>
    </w:p>
    <w:p w14:paraId="66EDA684">
      <w:pPr>
        <w:pStyle w:val="3"/>
        <w:spacing w:line="271" w:lineRule="auto"/>
        <w:ind w:left="112" w:right="111"/>
        <w:jc w:val="both"/>
        <w:rPr>
          <w:lang w:eastAsia="zh-CN"/>
        </w:rPr>
      </w:pPr>
      <w:r>
        <w:rPr>
          <w:rFonts w:hint="eastAsia" w:ascii="宋体" w:hAnsi="宋体" w:eastAsia="宋体" w:cs="宋体"/>
          <w:lang w:eastAsia="zh-CN"/>
        </w:rPr>
        <w:t>日本政府将制定灭菌或过滤灭菌矿泉水中的全氟辛烷磺酸（</w:t>
      </w:r>
      <w:r>
        <w:rPr>
          <w:lang w:eastAsia="zh-CN"/>
        </w:rPr>
        <w:t>PFOS</w:t>
      </w:r>
      <w:r>
        <w:rPr>
          <w:rFonts w:hint="eastAsia" w:ascii="宋体" w:hAnsi="宋体" w:eastAsia="宋体" w:cs="宋体"/>
          <w:lang w:eastAsia="zh-CN"/>
        </w:rPr>
        <w:t>）和全氟辛酸（</w:t>
      </w:r>
      <w:r>
        <w:rPr>
          <w:lang w:eastAsia="zh-CN"/>
        </w:rPr>
        <w:t>PFOA</w:t>
      </w:r>
      <w:r>
        <w:rPr>
          <w:rFonts w:hint="eastAsia" w:ascii="宋体" w:hAnsi="宋体" w:eastAsia="宋体" w:cs="宋体"/>
          <w:lang w:eastAsia="zh-CN"/>
        </w:rPr>
        <w:t>）规范。</w:t>
      </w:r>
    </w:p>
    <w:p w14:paraId="147BEA3D">
      <w:pPr>
        <w:pStyle w:val="3"/>
        <w:spacing w:before="1"/>
        <w:rPr>
          <w:sz w:val="25"/>
          <w:lang w:eastAsia="zh-CN"/>
        </w:rPr>
      </w:pPr>
    </w:p>
    <w:p w14:paraId="5FE2A6EA">
      <w:pPr>
        <w:pStyle w:val="2"/>
        <w:rPr>
          <w:u w:val="none"/>
          <w:lang w:eastAsia="zh-CN"/>
        </w:rPr>
      </w:pPr>
      <w:r>
        <w:rPr>
          <w:rFonts w:hint="eastAsia" w:ascii="宋体" w:hAnsi="宋体" w:eastAsia="宋体" w:cs="宋体"/>
          <w:lang w:eastAsia="zh-CN"/>
        </w:rPr>
        <w:t>背景</w:t>
      </w:r>
    </w:p>
    <w:p w14:paraId="6E37F6A0">
      <w:pPr>
        <w:pStyle w:val="3"/>
        <w:spacing w:before="215" w:line="272" w:lineRule="auto"/>
        <w:ind w:left="112" w:right="115"/>
        <w:jc w:val="both"/>
        <w:rPr>
          <w:lang w:eastAsia="zh-CN"/>
        </w:rPr>
      </w:pPr>
      <w:r>
        <w:rPr>
          <w:rFonts w:hint="eastAsia" w:ascii="宋体" w:hAnsi="宋体" w:eastAsia="宋体" w:cs="宋体"/>
          <w:lang w:eastAsia="zh-CN"/>
        </w:rPr>
        <w:t>根据《食品卫生法》（法案</w:t>
      </w:r>
      <w:r>
        <w:rPr>
          <w:lang w:eastAsia="zh-CN"/>
        </w:rPr>
        <w:t>No.233/1947</w:t>
      </w:r>
      <w:r>
        <w:rPr>
          <w:rFonts w:hint="eastAsia" w:ascii="宋体" w:hAnsi="宋体" w:eastAsia="宋体" w:cs="宋体"/>
          <w:lang w:eastAsia="zh-CN"/>
        </w:rPr>
        <w:t>；</w:t>
      </w:r>
      <w:r>
        <w:rPr>
          <w:lang w:eastAsia="zh-CN"/>
        </w:rPr>
        <w:t>“</w:t>
      </w:r>
      <w:r>
        <w:rPr>
          <w:rFonts w:hint="eastAsia" w:ascii="宋体" w:hAnsi="宋体" w:eastAsia="宋体" w:cs="宋体"/>
          <w:lang w:eastAsia="zh-CN"/>
        </w:rPr>
        <w:t>法案</w:t>
      </w:r>
      <w:r>
        <w:rPr>
          <w:lang w:eastAsia="zh-CN"/>
        </w:rPr>
        <w:t>”</w:t>
      </w:r>
      <w:r>
        <w:rPr>
          <w:rFonts w:hint="eastAsia" w:ascii="宋体" w:hAnsi="宋体" w:eastAsia="宋体" w:cs="宋体"/>
          <w:lang w:eastAsia="zh-CN"/>
        </w:rPr>
        <w:t>）第</w:t>
      </w:r>
      <w:r>
        <w:rPr>
          <w:lang w:eastAsia="zh-CN"/>
        </w:rPr>
        <w:t>13</w:t>
      </w:r>
      <w:r>
        <w:rPr>
          <w:rFonts w:hint="eastAsia" w:ascii="宋体" w:hAnsi="宋体" w:eastAsia="宋体" w:cs="宋体"/>
          <w:lang w:eastAsia="zh-CN"/>
        </w:rPr>
        <w:t>条第</w:t>
      </w:r>
      <w:r>
        <w:rPr>
          <w:lang w:eastAsia="zh-CN"/>
        </w:rPr>
        <w:t>(2)</w:t>
      </w:r>
      <w:r>
        <w:rPr>
          <w:rFonts w:hint="eastAsia" w:ascii="宋体" w:hAnsi="宋体" w:eastAsia="宋体" w:cs="宋体"/>
          <w:lang w:eastAsia="zh-CN"/>
        </w:rPr>
        <w:t>款，当食品或食品添加剂不符合规范或标准时，日本禁止销售《食品、食品添加剂等规范和标准》（卫生福利部公告</w:t>
      </w:r>
      <w:r>
        <w:rPr>
          <w:lang w:eastAsia="zh-CN"/>
        </w:rPr>
        <w:t>No.370/1959</w:t>
      </w:r>
      <w:r>
        <w:rPr>
          <w:rFonts w:hint="eastAsia" w:ascii="宋体" w:hAnsi="宋体" w:eastAsia="宋体" w:cs="宋体"/>
          <w:lang w:eastAsia="zh-CN"/>
        </w:rPr>
        <w:t>；</w:t>
      </w:r>
      <w:r>
        <w:rPr>
          <w:lang w:eastAsia="zh-CN"/>
        </w:rPr>
        <w:t>“</w:t>
      </w:r>
      <w:r>
        <w:rPr>
          <w:rFonts w:hint="eastAsia" w:ascii="宋体" w:hAnsi="宋体" w:eastAsia="宋体" w:cs="宋体"/>
          <w:lang w:eastAsia="zh-CN"/>
        </w:rPr>
        <w:t>公告</w:t>
      </w:r>
      <w:r>
        <w:rPr>
          <w:lang w:eastAsia="zh-CN"/>
        </w:rPr>
        <w:t>”</w:t>
      </w:r>
      <w:r>
        <w:rPr>
          <w:rFonts w:hint="eastAsia" w:ascii="宋体" w:hAnsi="宋体" w:eastAsia="宋体" w:cs="宋体"/>
          <w:lang w:eastAsia="zh-CN"/>
        </w:rPr>
        <w:t>）根据该法案同一条款第</w:t>
      </w:r>
      <w:r>
        <w:rPr>
          <w:lang w:eastAsia="zh-CN"/>
        </w:rPr>
        <w:t>(1)</w:t>
      </w:r>
      <w:r>
        <w:rPr>
          <w:rFonts w:hint="eastAsia" w:ascii="宋体" w:hAnsi="宋体" w:eastAsia="宋体" w:cs="宋体"/>
          <w:lang w:eastAsia="zh-CN"/>
        </w:rPr>
        <w:t>款规定了规范或标准的食品和食品添加剂。</w:t>
      </w:r>
    </w:p>
    <w:p w14:paraId="091ECFAC">
      <w:pPr>
        <w:pStyle w:val="3"/>
        <w:spacing w:before="1"/>
        <w:rPr>
          <w:sz w:val="25"/>
          <w:lang w:eastAsia="zh-CN"/>
        </w:rPr>
      </w:pPr>
    </w:p>
    <w:p w14:paraId="6AF4B90E">
      <w:pPr>
        <w:pStyle w:val="3"/>
        <w:spacing w:line="271" w:lineRule="auto"/>
        <w:ind w:left="112" w:right="106"/>
        <w:jc w:val="both"/>
        <w:rPr>
          <w:lang w:eastAsia="zh-CN"/>
        </w:rPr>
      </w:pPr>
      <w:r>
        <w:rPr>
          <w:rFonts w:hint="eastAsia" w:ascii="宋体" w:hAnsi="宋体" w:eastAsia="宋体" w:cs="宋体"/>
          <w:lang w:eastAsia="zh-CN"/>
        </w:rPr>
        <w:t>公告中规定的矿泉水规范和标准已经根据风险评估机构内阁办公室下属的日本食品安全委员会（</w:t>
      </w:r>
      <w:r>
        <w:rPr>
          <w:lang w:eastAsia="zh-CN"/>
        </w:rPr>
        <w:t>FSCJ</w:t>
      </w:r>
      <w:r>
        <w:rPr>
          <w:rFonts w:hint="eastAsia" w:ascii="宋体" w:hAnsi="宋体" w:eastAsia="宋体" w:cs="宋体"/>
          <w:lang w:eastAsia="zh-CN"/>
        </w:rPr>
        <w:t>）对食品健康影响的评估进行了连续审查，考虑到与日本供水法案中规定的水质标准和国际标准（如食品法典）的一致性。这次，</w:t>
      </w:r>
      <w:r>
        <w:rPr>
          <w:lang w:eastAsia="zh-CN"/>
        </w:rPr>
        <w:t>FSCJ</w:t>
      </w:r>
      <w:r>
        <w:rPr>
          <w:rFonts w:hint="eastAsia" w:ascii="宋体" w:hAnsi="宋体" w:eastAsia="宋体" w:cs="宋体"/>
          <w:lang w:eastAsia="zh-CN"/>
        </w:rPr>
        <w:t>发布了食品中合成有机氟化合物（全氟和多氟烷基物质：</w:t>
      </w:r>
      <w:r>
        <w:rPr>
          <w:lang w:eastAsia="zh-CN"/>
        </w:rPr>
        <w:t>PFAS</w:t>
      </w:r>
      <w:r>
        <w:rPr>
          <w:rFonts w:hint="eastAsia" w:ascii="宋体" w:hAnsi="宋体" w:eastAsia="宋体" w:cs="宋体"/>
          <w:lang w:eastAsia="zh-CN"/>
        </w:rPr>
        <w:t>）的健康影响评估。根据《供水法》，将制定全氟辛烷磺酸（</w:t>
      </w:r>
      <w:r>
        <w:rPr>
          <w:lang w:eastAsia="zh-CN"/>
        </w:rPr>
        <w:t>PFOS</w:t>
      </w:r>
      <w:r>
        <w:rPr>
          <w:rFonts w:hint="eastAsia" w:ascii="宋体" w:hAnsi="宋体" w:eastAsia="宋体" w:cs="宋体"/>
          <w:lang w:eastAsia="zh-CN"/>
        </w:rPr>
        <w:t>）和全氟辛酸（</w:t>
      </w:r>
      <w:r>
        <w:rPr>
          <w:lang w:eastAsia="zh-CN"/>
        </w:rPr>
        <w:t>PFOA</w:t>
      </w:r>
      <w:r>
        <w:rPr>
          <w:rFonts w:hint="eastAsia" w:ascii="宋体" w:hAnsi="宋体" w:eastAsia="宋体" w:cs="宋体"/>
          <w:lang w:eastAsia="zh-CN"/>
        </w:rPr>
        <w:t>）中两种物质的自来水水质标准（计划于</w:t>
      </w:r>
      <w:r>
        <w:rPr>
          <w:lang w:eastAsia="zh-CN"/>
        </w:rPr>
        <w:t>2026</w:t>
      </w:r>
      <w:r>
        <w:rPr>
          <w:rFonts w:hint="eastAsia" w:ascii="宋体" w:hAnsi="宋体" w:eastAsia="宋体" w:cs="宋体"/>
          <w:lang w:eastAsia="zh-CN"/>
        </w:rPr>
        <w:t>年</w:t>
      </w:r>
      <w:r>
        <w:rPr>
          <w:lang w:eastAsia="zh-CN"/>
        </w:rPr>
        <w:t>4</w:t>
      </w:r>
      <w:r>
        <w:rPr>
          <w:rFonts w:hint="eastAsia" w:ascii="宋体" w:hAnsi="宋体" w:eastAsia="宋体" w:cs="宋体"/>
          <w:lang w:eastAsia="zh-CN"/>
        </w:rPr>
        <w:t>月强制执行）。考虑到上述情况，日本将制定以下灭菌或过滤灭菌矿泉水中全氟辛烷磺酸和全氟辛酸规范。</w:t>
      </w:r>
    </w:p>
    <w:p w14:paraId="0A00D22D">
      <w:pPr>
        <w:pStyle w:val="3"/>
        <w:rPr>
          <w:sz w:val="20"/>
          <w:lang w:eastAsia="zh-CN"/>
        </w:rPr>
      </w:pPr>
    </w:p>
    <w:p w14:paraId="76B98BB9">
      <w:pPr>
        <w:pStyle w:val="3"/>
        <w:spacing w:before="8"/>
        <w:rPr>
          <w:lang w:eastAsia="zh-CN"/>
        </w:rPr>
      </w:pPr>
    </w:p>
    <w:p w14:paraId="507F9A9C">
      <w:pPr>
        <w:pStyle w:val="2"/>
        <w:spacing w:before="101"/>
        <w:rPr>
          <w:u w:val="none"/>
          <w:lang w:eastAsia="zh-CN"/>
        </w:rPr>
      </w:pPr>
      <w:r>
        <w:rPr>
          <w:rFonts w:hint="eastAsia" w:ascii="宋体" w:hAnsi="宋体" w:eastAsia="宋体" w:cs="宋体"/>
          <w:lang w:eastAsia="zh-CN"/>
        </w:rPr>
        <w:t>规范</w:t>
      </w:r>
      <w:r>
        <w:rPr>
          <w:rFonts w:hint="eastAsia" w:ascii="宋体" w:hAnsi="宋体" w:eastAsia="宋体" w:cs="宋体"/>
          <w:lang w:val="en-US" w:eastAsia="zh-CN"/>
        </w:rPr>
        <w:t>的提</w:t>
      </w:r>
      <w:r>
        <w:rPr>
          <w:rFonts w:hint="eastAsia" w:ascii="宋体" w:hAnsi="宋体" w:eastAsia="宋体" w:cs="宋体"/>
          <w:lang w:eastAsia="zh-CN"/>
        </w:rPr>
        <w:t>纲</w:t>
      </w:r>
      <w:bookmarkStart w:id="0" w:name="_GoBack"/>
      <w:bookmarkEnd w:id="0"/>
    </w:p>
    <w:p w14:paraId="50DEF90F">
      <w:pPr>
        <w:pStyle w:val="3"/>
        <w:spacing w:before="216"/>
        <w:ind w:left="334"/>
        <w:rPr>
          <w:lang w:eastAsia="zh-CN"/>
        </w:rPr>
      </w:pPr>
      <w:r>
        <w:rPr>
          <w:rFonts w:hint="eastAsia" w:ascii="宋体" w:hAnsi="宋体" w:eastAsia="宋体" w:cs="宋体"/>
          <w:lang w:val="en-US" w:eastAsia="zh-CN"/>
        </w:rPr>
        <w:t>矿</w:t>
      </w:r>
      <w:r>
        <w:rPr>
          <w:rFonts w:hint="eastAsia" w:ascii="宋体" w:hAnsi="宋体" w:eastAsia="宋体" w:cs="宋体"/>
          <w:lang w:eastAsia="zh-CN"/>
        </w:rPr>
        <w:t>泉水（灭菌或过滤灭菌）成分规范</w:t>
      </w:r>
    </w:p>
    <w:p w14:paraId="7677E223">
      <w:pPr>
        <w:pStyle w:val="3"/>
        <w:spacing w:before="35" w:after="49"/>
        <w:ind w:left="9162"/>
      </w:pPr>
      <w:r>
        <w:rPr>
          <w:spacing w:val="-2"/>
        </w:rPr>
        <w:t>(mg/l)</w:t>
      </w:r>
    </w:p>
    <w:tbl>
      <w:tblPr>
        <w:tblStyle w:val="9"/>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1"/>
        <w:gridCol w:w="2406"/>
        <w:gridCol w:w="2836"/>
      </w:tblGrid>
      <w:tr w14:paraId="0999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391" w:type="dxa"/>
            <w:shd w:val="clear" w:color="auto" w:fill="BEBEBE"/>
          </w:tcPr>
          <w:p w14:paraId="749DFEB9">
            <w:pPr>
              <w:pStyle w:val="11"/>
              <w:spacing w:before="174"/>
              <w:ind w:left="1361"/>
            </w:pPr>
            <w:r>
              <w:rPr>
                <w:rFonts w:hint="eastAsia" w:ascii="宋体" w:hAnsi="宋体" w:eastAsia="宋体" w:cs="宋体"/>
              </w:rPr>
              <w:t>物质名称</w:t>
            </w:r>
          </w:p>
        </w:tc>
        <w:tc>
          <w:tcPr>
            <w:tcW w:w="2406" w:type="dxa"/>
            <w:shd w:val="clear" w:color="auto" w:fill="BEBEBE"/>
          </w:tcPr>
          <w:p w14:paraId="74551E68">
            <w:pPr>
              <w:pStyle w:val="11"/>
              <w:spacing w:before="35" w:line="257" w:lineRule="exact"/>
              <w:jc w:val="center"/>
            </w:pPr>
            <w:r>
              <w:rPr>
                <w:rFonts w:hint="eastAsia" w:ascii="宋体" w:hAnsi="宋体" w:eastAsia="宋体" w:cs="宋体"/>
                <w:lang w:val="en-US" w:eastAsia="zh-CN"/>
              </w:rPr>
              <w:t>最大限量</w:t>
            </w:r>
            <w:r>
              <w:rPr>
                <w:rFonts w:hint="eastAsia" w:ascii="宋体" w:hAnsi="宋体" w:eastAsia="宋体" w:cs="宋体"/>
              </w:rPr>
              <w:t>（当前）</w:t>
            </w:r>
          </w:p>
        </w:tc>
        <w:tc>
          <w:tcPr>
            <w:tcW w:w="2836" w:type="dxa"/>
            <w:shd w:val="clear" w:color="auto" w:fill="BEBEBE"/>
          </w:tcPr>
          <w:p w14:paraId="57463131">
            <w:pPr>
              <w:pStyle w:val="11"/>
              <w:spacing w:before="23"/>
              <w:jc w:val="center"/>
              <w:rPr>
                <w:rFonts w:hint="default" w:eastAsia="宋体"/>
                <w:lang w:val="en-US" w:eastAsia="zh-CN"/>
              </w:rPr>
            </w:pPr>
            <w:r>
              <w:rPr>
                <w:rFonts w:hint="eastAsia" w:ascii="宋体" w:hAnsi="宋体" w:eastAsia="宋体" w:cs="宋体"/>
              </w:rPr>
              <w:t>最</w:t>
            </w:r>
            <w:r>
              <w:rPr>
                <w:rFonts w:hint="eastAsia" w:ascii="宋体" w:hAnsi="宋体" w:eastAsia="宋体" w:cs="宋体"/>
                <w:lang w:val="en-US" w:eastAsia="zh-CN"/>
              </w:rPr>
              <w:t>大限量</w:t>
            </w:r>
          </w:p>
          <w:p w14:paraId="6D96989D">
            <w:pPr>
              <w:pStyle w:val="11"/>
              <w:spacing w:before="35" w:line="257" w:lineRule="exact"/>
              <w:jc w:val="center"/>
            </w:pPr>
            <w:r>
              <w:rPr>
                <w:rFonts w:hint="eastAsia" w:ascii="宋体" w:hAnsi="宋体" w:eastAsia="宋体" w:cs="宋体"/>
              </w:rPr>
              <w:t>（草案）</w:t>
            </w:r>
          </w:p>
        </w:tc>
      </w:tr>
      <w:tr w14:paraId="54466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4391" w:type="dxa"/>
          </w:tcPr>
          <w:p w14:paraId="11A59288">
            <w:pPr>
              <w:pStyle w:val="11"/>
              <w:numPr>
                <w:ilvl w:val="0"/>
                <w:numId w:val="1"/>
              </w:numPr>
              <w:tabs>
                <w:tab w:val="left" w:pos="760"/>
                <w:tab w:val="left" w:pos="762"/>
              </w:tabs>
              <w:spacing w:before="95"/>
              <w:ind w:hanging="441"/>
            </w:pPr>
            <w:r>
              <w:rPr>
                <w:rFonts w:hint="eastAsia" w:ascii="宋体" w:hAnsi="宋体" w:eastAsia="宋体" w:cs="宋体"/>
              </w:rPr>
              <w:t>全氟辛烷磺酸</w:t>
            </w:r>
            <w:r>
              <w:t>(PFOS)</w:t>
            </w:r>
          </w:p>
          <w:p w14:paraId="6155E37F">
            <w:pPr>
              <w:pStyle w:val="11"/>
              <w:numPr>
                <w:ilvl w:val="0"/>
                <w:numId w:val="1"/>
              </w:numPr>
              <w:tabs>
                <w:tab w:val="left" w:pos="760"/>
                <w:tab w:val="left" w:pos="762"/>
              </w:tabs>
              <w:spacing w:before="107"/>
              <w:ind w:hanging="441"/>
            </w:pPr>
            <w:r>
              <w:rPr>
                <w:rFonts w:hint="eastAsia" w:ascii="宋体" w:hAnsi="宋体" w:eastAsia="宋体" w:cs="宋体"/>
              </w:rPr>
              <w:t>全氟辛酸</w:t>
            </w:r>
            <w:r>
              <w:t>(PFOA)</w:t>
            </w:r>
          </w:p>
        </w:tc>
        <w:tc>
          <w:tcPr>
            <w:tcW w:w="2406" w:type="dxa"/>
          </w:tcPr>
          <w:p w14:paraId="7C1D9FA9">
            <w:pPr>
              <w:pStyle w:val="11"/>
              <w:spacing w:before="5"/>
              <w:rPr>
                <w:sz w:val="23"/>
              </w:rPr>
            </w:pPr>
          </w:p>
          <w:p w14:paraId="09EC7F70">
            <w:pPr>
              <w:pStyle w:val="11"/>
              <w:jc w:val="center"/>
              <w:rPr>
                <w:rFonts w:hint="eastAsia" w:eastAsia="宋体"/>
                <w:lang w:eastAsia="zh-CN"/>
              </w:rPr>
            </w:pPr>
            <w:r>
              <w:rPr>
                <w:rFonts w:hint="eastAsia" w:ascii="宋体" w:hAnsi="宋体" w:eastAsia="宋体" w:cs="宋体"/>
              </w:rPr>
              <w:t>未</w:t>
            </w:r>
            <w:r>
              <w:rPr>
                <w:rFonts w:hint="eastAsia" w:ascii="宋体" w:hAnsi="宋体" w:eastAsia="宋体" w:cs="宋体"/>
                <w:lang w:val="en-US" w:eastAsia="zh-CN"/>
              </w:rPr>
              <w:t>制定</w:t>
            </w:r>
          </w:p>
        </w:tc>
        <w:tc>
          <w:tcPr>
            <w:tcW w:w="2836" w:type="dxa"/>
          </w:tcPr>
          <w:p w14:paraId="03A5CCA2">
            <w:pPr>
              <w:pStyle w:val="11"/>
              <w:spacing w:before="5"/>
              <w:rPr>
                <w:sz w:val="23"/>
              </w:rPr>
            </w:pPr>
          </w:p>
          <w:p w14:paraId="56BC787B">
            <w:pPr>
              <w:pStyle w:val="11"/>
              <w:ind w:left="608"/>
            </w:pPr>
            <w:r>
              <w:rPr>
                <w:rFonts w:hint="eastAsia" w:ascii="宋体" w:hAnsi="宋体" w:eastAsia="宋体" w:cs="宋体"/>
                <w:u w:val="single"/>
              </w:rPr>
              <w:t>总计</w:t>
            </w:r>
            <w:r>
              <w:rPr>
                <w:u w:val="single"/>
              </w:rPr>
              <w:t>0.00005</w:t>
            </w:r>
          </w:p>
        </w:tc>
      </w:tr>
    </w:tbl>
    <w:p w14:paraId="62517B8A">
      <w:pPr>
        <w:pStyle w:val="3"/>
        <w:spacing w:before="24"/>
        <w:ind w:left="396"/>
        <w:rPr>
          <w:lang w:eastAsia="zh-CN"/>
        </w:rPr>
      </w:pPr>
      <w:r>
        <w:rPr>
          <w:rFonts w:hint="eastAsia" w:ascii="宋体" w:hAnsi="宋体" w:eastAsia="宋体" w:cs="宋体"/>
          <w:lang w:eastAsia="zh-CN"/>
        </w:rPr>
        <w:t>注：划线部分为新制定的</w:t>
      </w:r>
      <w:r>
        <w:rPr>
          <w:rFonts w:hint="eastAsia" w:ascii="宋体" w:hAnsi="宋体" w:eastAsia="宋体" w:cs="宋体"/>
          <w:lang w:val="en-US" w:eastAsia="zh-CN"/>
        </w:rPr>
        <w:t>限量</w:t>
      </w:r>
      <w:r>
        <w:rPr>
          <w:rFonts w:hint="eastAsia" w:ascii="宋体" w:hAnsi="宋体" w:eastAsia="宋体" w:cs="宋体"/>
          <w:lang w:eastAsia="zh-CN"/>
        </w:rPr>
        <w:t>（草案）。</w:t>
      </w:r>
    </w:p>
    <w:sectPr>
      <w:type w:val="continuous"/>
      <w:pgSz w:w="11910" w:h="16840"/>
      <w:pgMar w:top="1040" w:right="1020" w:bottom="280"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Century">
    <w:panose1 w:val="02040604050505020304"/>
    <w:charset w:val="00"/>
    <w:family w:val="roman"/>
    <w:pitch w:val="default"/>
    <w:sig w:usb0="00000287"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3322C"/>
    <w:multiLevelType w:val="multilevel"/>
    <w:tmpl w:val="1DF3322C"/>
    <w:lvl w:ilvl="0" w:tentative="0">
      <w:start w:val="0"/>
      <w:numFmt w:val="bullet"/>
      <w:lvlText w:val=""/>
      <w:lvlJc w:val="left"/>
      <w:pPr>
        <w:ind w:left="761" w:hanging="440"/>
      </w:pPr>
      <w:rPr>
        <w:rFonts w:hint="default" w:ascii="Wingdings" w:hAnsi="Wingdings" w:eastAsia="Wingdings" w:cs="Wingdings"/>
        <w:b w:val="0"/>
        <w:bCs w:val="0"/>
        <w:i w:val="0"/>
        <w:iCs w:val="0"/>
        <w:w w:val="100"/>
        <w:sz w:val="22"/>
        <w:szCs w:val="22"/>
        <w:lang w:val="en-US" w:eastAsia="ja-JP" w:bidi="ar-SA"/>
      </w:rPr>
    </w:lvl>
    <w:lvl w:ilvl="1" w:tentative="0">
      <w:start w:val="0"/>
      <w:numFmt w:val="bullet"/>
      <w:lvlText w:val="•"/>
      <w:lvlJc w:val="left"/>
      <w:pPr>
        <w:ind w:left="1122" w:hanging="440"/>
      </w:pPr>
      <w:rPr>
        <w:rFonts w:hint="default"/>
        <w:lang w:val="en-US" w:eastAsia="ja-JP" w:bidi="ar-SA"/>
      </w:rPr>
    </w:lvl>
    <w:lvl w:ilvl="2" w:tentative="0">
      <w:start w:val="0"/>
      <w:numFmt w:val="bullet"/>
      <w:lvlText w:val="•"/>
      <w:lvlJc w:val="left"/>
      <w:pPr>
        <w:ind w:left="1484" w:hanging="440"/>
      </w:pPr>
      <w:rPr>
        <w:rFonts w:hint="default"/>
        <w:lang w:val="en-US" w:eastAsia="ja-JP" w:bidi="ar-SA"/>
      </w:rPr>
    </w:lvl>
    <w:lvl w:ilvl="3" w:tentative="0">
      <w:start w:val="0"/>
      <w:numFmt w:val="bullet"/>
      <w:lvlText w:val="•"/>
      <w:lvlJc w:val="left"/>
      <w:pPr>
        <w:ind w:left="1846" w:hanging="440"/>
      </w:pPr>
      <w:rPr>
        <w:rFonts w:hint="default"/>
        <w:lang w:val="en-US" w:eastAsia="ja-JP" w:bidi="ar-SA"/>
      </w:rPr>
    </w:lvl>
    <w:lvl w:ilvl="4" w:tentative="0">
      <w:start w:val="0"/>
      <w:numFmt w:val="bullet"/>
      <w:lvlText w:val="•"/>
      <w:lvlJc w:val="left"/>
      <w:pPr>
        <w:ind w:left="2208" w:hanging="440"/>
      </w:pPr>
      <w:rPr>
        <w:rFonts w:hint="default"/>
        <w:lang w:val="en-US" w:eastAsia="ja-JP" w:bidi="ar-SA"/>
      </w:rPr>
    </w:lvl>
    <w:lvl w:ilvl="5" w:tentative="0">
      <w:start w:val="0"/>
      <w:numFmt w:val="bullet"/>
      <w:lvlText w:val="•"/>
      <w:lvlJc w:val="left"/>
      <w:pPr>
        <w:ind w:left="2570" w:hanging="440"/>
      </w:pPr>
      <w:rPr>
        <w:rFonts w:hint="default"/>
        <w:lang w:val="en-US" w:eastAsia="ja-JP" w:bidi="ar-SA"/>
      </w:rPr>
    </w:lvl>
    <w:lvl w:ilvl="6" w:tentative="0">
      <w:start w:val="0"/>
      <w:numFmt w:val="bullet"/>
      <w:lvlText w:val="•"/>
      <w:lvlJc w:val="left"/>
      <w:pPr>
        <w:ind w:left="2932" w:hanging="440"/>
      </w:pPr>
      <w:rPr>
        <w:rFonts w:hint="default"/>
        <w:lang w:val="en-US" w:eastAsia="ja-JP" w:bidi="ar-SA"/>
      </w:rPr>
    </w:lvl>
    <w:lvl w:ilvl="7" w:tentative="0">
      <w:start w:val="0"/>
      <w:numFmt w:val="bullet"/>
      <w:lvlText w:val="•"/>
      <w:lvlJc w:val="left"/>
      <w:pPr>
        <w:ind w:left="3294" w:hanging="440"/>
      </w:pPr>
      <w:rPr>
        <w:rFonts w:hint="default"/>
        <w:lang w:val="en-US" w:eastAsia="ja-JP" w:bidi="ar-SA"/>
      </w:rPr>
    </w:lvl>
    <w:lvl w:ilvl="8" w:tentative="0">
      <w:start w:val="0"/>
      <w:numFmt w:val="bullet"/>
      <w:lvlText w:val="•"/>
      <w:lvlJc w:val="left"/>
      <w:pPr>
        <w:ind w:left="3656" w:hanging="440"/>
      </w:pPr>
      <w:rPr>
        <w:rFonts w:hint="default"/>
        <w:lang w:val="en-US" w:eastAsia="ja-JP"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F42505"/>
    <w:rsid w:val="00A620B6"/>
    <w:rsid w:val="00F42505"/>
    <w:rsid w:val="01BD35AB"/>
    <w:rsid w:val="02F0175E"/>
    <w:rsid w:val="05504736"/>
    <w:rsid w:val="0A173A74"/>
    <w:rsid w:val="0E15651D"/>
    <w:rsid w:val="11A976A8"/>
    <w:rsid w:val="2D4542D1"/>
    <w:rsid w:val="30874C00"/>
    <w:rsid w:val="39EB6F52"/>
    <w:rsid w:val="482148DC"/>
    <w:rsid w:val="5CEB1EEF"/>
    <w:rsid w:val="5D303DA6"/>
    <w:rsid w:val="607E307A"/>
    <w:rsid w:val="6A4627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entury" w:hAnsi="Century" w:eastAsia="Century" w:cs="Century"/>
      <w:sz w:val="22"/>
      <w:szCs w:val="22"/>
      <w:lang w:val="en-US" w:eastAsia="ja-JP" w:bidi="ar-SA"/>
    </w:rPr>
  </w:style>
  <w:style w:type="paragraph" w:styleId="2">
    <w:name w:val="heading 1"/>
    <w:basedOn w:val="1"/>
    <w:qFormat/>
    <w:uiPriority w:val="1"/>
    <w:pPr>
      <w:spacing w:before="1"/>
      <w:ind w:left="112"/>
      <w:outlineLvl w:val="0"/>
    </w:pPr>
    <w:rPr>
      <w:b/>
      <w:bCs/>
      <w:u w:val="single" w:color="000000"/>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1"/>
    <w:pPr>
      <w:spacing w:before="80"/>
      <w:ind w:left="787"/>
    </w:pPr>
    <w:rPr>
      <w:b/>
      <w:bCs/>
      <w:sz w:val="24"/>
      <w:szCs w:val="24"/>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字符"/>
    <w:basedOn w:val="8"/>
    <w:link w:val="5"/>
    <w:qFormat/>
    <w:uiPriority w:val="99"/>
    <w:rPr>
      <w:rFonts w:ascii="Century" w:hAnsi="Century" w:eastAsia="Century" w:cs="Century"/>
      <w:sz w:val="18"/>
      <w:szCs w:val="18"/>
      <w:lang w:eastAsia="ja-JP"/>
    </w:rPr>
  </w:style>
  <w:style w:type="character" w:customStyle="1" w:styleId="13">
    <w:name w:val="页脚 字符"/>
    <w:basedOn w:val="8"/>
    <w:link w:val="4"/>
    <w:qFormat/>
    <w:uiPriority w:val="99"/>
    <w:rPr>
      <w:rFonts w:ascii="Century" w:hAnsi="Century" w:eastAsia="Century" w:cs="Century"/>
      <w:sz w:val="18"/>
      <w:szCs w:val="18"/>
      <w:lang w:eastAsia="ja-JP"/>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Class>
  <codeData xmlns="urn:rootClass:codeData">0F450467CCDD2156F6150E5D96C718B72E222C7FE43B4D4041025FB0A2E4265BB394BE35E86DEE0A5DF35EB196EA1D7091B2AFC0B2F4166BA3A4AE25D81DBE3F9370ADF366BBD1374B014B5CC1D03265A496C3D447BF0255F434E475A32A7E8287DD698BF000031A7FC09DEE72B4D738BE43D062F079ED6B8A9A70F45AAFD0C7C97AE73B2D7192F62F1723</codeData>
</rootClass>
</file>

<file path=customXml/itemProps1.xml><?xml version="1.0" encoding="utf-8"?>
<ds:datastoreItem xmlns:ds="http://schemas.openxmlformats.org/officeDocument/2006/customXml" ds:itemID="{56F47D86-D8EE-4C33-9D9D-1979164C47DE}">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475</Words>
  <Characters>545</Characters>
  <Lines>32</Lines>
  <Paragraphs>18</Paragraphs>
  <TotalTime>3</TotalTime>
  <ScaleCrop>false</ScaleCrop>
  <LinksUpToDate>false</LinksUpToDate>
  <CharactersWithSpaces>545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2025-02-27T07:28:00Z</dcterms:created>
  <dc:creator>作成者</dc:creator>
  <cp:lastModifiedBy>欢喜葡萄</cp:lastModifiedBy>
  <cp:lastPrinted>2025-02-27T07:28:00Z</cp:lastPrinted>
  <dcterms:modified xsi:type="dcterms:W3CDTF">2025-02-27T07:55:31Z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Word for Microsoft 365</vt:lpwstr>
  </property>
  <property fmtid="{D5CDD505-2E9C-101B-9397-08002B2CF9AE}" pid="4" name="LastSaved">
    <vt:filetime>2025-02-27T00:00:00Z</vt:filetime>
  </property>
  <property fmtid="{D5CDD505-2E9C-101B-9397-08002B2CF9AE}" pid="5" name="KSOTemplateDocerSaveRecord">
    <vt:lpwstr>eyJoZGlkIjoiN2ZlMWVkNmE0ODNiM2U0OWY5MTNiMWY0OTk5NGU3NGUiLCJ1c2VySWQiOiIxMzg2NzY4MTY1In0=</vt:lpwstr>
  </property>
  <property fmtid="{D5CDD505-2E9C-101B-9397-08002B2CF9AE}" pid="6" name="KSOProductBuildVer">
    <vt:lpwstr>2052-12.1.0.20305</vt:lpwstr>
  </property>
  <property fmtid="{D5CDD505-2E9C-101B-9397-08002B2CF9AE}" pid="7" name="ICV">
    <vt:lpwstr>4E58D79B7E304FE6B91311916A436F3A_13</vt:lpwstr>
  </property>
</Properties>
</file>