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E5C45">
      <w:pPr>
        <w:spacing w:before="72"/>
        <w:ind w:right="107"/>
        <w:jc w:val="right"/>
        <w:rPr>
          <w:sz w:val="28"/>
          <w:lang w:eastAsia="zh-CN"/>
        </w:rPr>
      </w:pPr>
      <w:r>
        <w:rPr>
          <w:rFonts w:hint="eastAsia" w:ascii="宋体" w:hAnsi="宋体" w:eastAsia="宋体" w:cs="宋体"/>
          <w:sz w:val="28"/>
          <w:szCs w:val="28"/>
          <w:lang w:eastAsia="zh-CN"/>
        </w:rPr>
        <w:t>非正式翻译</w:t>
      </w:r>
    </w:p>
    <w:p w14:paraId="5C824788">
      <w:pPr>
        <w:pStyle w:val="2"/>
        <w:spacing w:before="1"/>
        <w:ind w:left="0" w:firstLine="0"/>
        <w:rPr>
          <w:sz w:val="27"/>
          <w:lang w:eastAsia="zh-CN"/>
        </w:rPr>
      </w:pPr>
      <w:r>
        <w:rPr>
          <w:lang w:val="en-US" w:eastAsia="zh-CN"/>
        </w:rPr>
        <w:drawing>
          <wp:anchor distT="0" distB="0" distL="0" distR="0" simplePos="0" relativeHeight="251659264" behindDoc="0" locked="0" layoutInCell="1" allowOverlap="1">
            <wp:simplePos x="0" y="0"/>
            <wp:positionH relativeFrom="page">
              <wp:posOffset>3674110</wp:posOffset>
            </wp:positionH>
            <wp:positionV relativeFrom="paragraph">
              <wp:posOffset>212725</wp:posOffset>
            </wp:positionV>
            <wp:extent cx="571500" cy="76200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571500" cy="762000"/>
                    </a:xfrm>
                    <a:prstGeom prst="rect">
                      <a:avLst/>
                    </a:prstGeom>
                  </pic:spPr>
                </pic:pic>
              </a:graphicData>
            </a:graphic>
          </wp:anchor>
        </w:drawing>
      </w:r>
    </w:p>
    <w:p w14:paraId="58179712">
      <w:pPr>
        <w:pStyle w:val="2"/>
        <w:ind w:left="0" w:firstLine="0"/>
        <w:rPr>
          <w:sz w:val="30"/>
          <w:lang w:eastAsia="zh-CN"/>
        </w:rPr>
      </w:pPr>
    </w:p>
    <w:p w14:paraId="78BDDD47">
      <w:pPr>
        <w:pStyle w:val="2"/>
        <w:spacing w:before="5"/>
        <w:ind w:left="0" w:firstLine="0"/>
        <w:rPr>
          <w:sz w:val="31"/>
          <w:lang w:eastAsia="zh-CN"/>
        </w:rPr>
      </w:pPr>
    </w:p>
    <w:p w14:paraId="21A38391">
      <w:pPr>
        <w:ind w:left="898" w:right="891"/>
        <w:jc w:val="center"/>
        <w:rPr>
          <w:b/>
          <w:sz w:val="28"/>
          <w:lang w:eastAsia="zh-CN"/>
        </w:rPr>
      </w:pPr>
      <w:r>
        <w:rPr>
          <w:rFonts w:hint="eastAsia" w:ascii="宋体" w:hAnsi="宋体" w:eastAsia="宋体" w:cs="宋体"/>
          <w:b/>
          <w:sz w:val="28"/>
          <w:szCs w:val="28"/>
          <w:lang w:eastAsia="zh-CN"/>
        </w:rPr>
        <w:t>乌克兰农业政策和粮食部</w:t>
      </w:r>
    </w:p>
    <w:p w14:paraId="76FFBBD6">
      <w:pPr>
        <w:spacing w:before="186"/>
        <w:ind w:left="897" w:right="891"/>
        <w:jc w:val="center"/>
        <w:rPr>
          <w:b/>
          <w:sz w:val="28"/>
          <w:lang w:eastAsia="zh-CN"/>
        </w:rPr>
      </w:pPr>
      <w:r>
        <w:rPr>
          <w:rFonts w:hint="eastAsia" w:ascii="宋体" w:hAnsi="宋体" w:eastAsia="宋体" w:cs="宋体"/>
          <w:b/>
          <w:sz w:val="28"/>
          <w:szCs w:val="28"/>
          <w:lang w:eastAsia="zh-CN"/>
        </w:rPr>
        <w:t>法令草案</w:t>
      </w:r>
    </w:p>
    <w:p w14:paraId="567BBA82">
      <w:pPr>
        <w:spacing w:before="185"/>
        <w:ind w:left="491"/>
        <w:jc w:val="both"/>
        <w:rPr>
          <w:b/>
          <w:sz w:val="28"/>
          <w:lang w:eastAsia="zh-CN"/>
        </w:rPr>
      </w:pPr>
      <w:r>
        <w:rPr>
          <w:rFonts w:hint="eastAsia" w:ascii="宋体" w:hAnsi="宋体" w:eastAsia="宋体" w:cs="宋体"/>
          <w:b/>
          <w:sz w:val="28"/>
          <w:szCs w:val="28"/>
          <w:lang w:eastAsia="zh-CN"/>
        </w:rPr>
        <w:t>关于批准食用酪蛋白和酪蛋白酸盐卫生要求</w:t>
      </w:r>
    </w:p>
    <w:p w14:paraId="65FD64B1">
      <w:pPr>
        <w:pStyle w:val="2"/>
        <w:spacing w:before="186" w:line="360" w:lineRule="auto"/>
        <w:ind w:right="108" w:firstLine="567"/>
        <w:jc w:val="both"/>
        <w:rPr>
          <w:lang w:eastAsia="zh-CN"/>
        </w:rPr>
      </w:pPr>
      <w:r>
        <w:rPr>
          <w:rFonts w:hint="eastAsia" w:ascii="宋体" w:hAnsi="宋体" w:eastAsia="宋体" w:cs="宋体"/>
          <w:lang w:eastAsia="zh-CN"/>
        </w:rPr>
        <w:t>根据乌克兰《食品安全和质量基本原则和要求法》第</w:t>
      </w:r>
      <w:r>
        <w:rPr>
          <w:lang w:eastAsia="zh-CN"/>
        </w:rPr>
        <w:t>7</w:t>
      </w:r>
      <w:r>
        <w:rPr>
          <w:rFonts w:hint="eastAsia" w:ascii="宋体" w:hAnsi="宋体" w:eastAsia="宋体" w:cs="宋体"/>
          <w:lang w:eastAsia="zh-CN"/>
        </w:rPr>
        <w:t>条第一部分、乌克兰内阁</w:t>
      </w:r>
      <w:r>
        <w:rPr>
          <w:lang w:eastAsia="zh-CN"/>
        </w:rPr>
        <w:t>2021</w:t>
      </w:r>
      <w:r>
        <w:rPr>
          <w:rFonts w:hint="eastAsia" w:ascii="宋体" w:hAnsi="宋体" w:eastAsia="宋体" w:cs="宋体"/>
          <w:lang w:eastAsia="zh-CN"/>
        </w:rPr>
        <w:t>年</w:t>
      </w:r>
      <w:r>
        <w:rPr>
          <w:lang w:eastAsia="zh-CN"/>
        </w:rPr>
        <w:t>2</w:t>
      </w:r>
      <w:r>
        <w:rPr>
          <w:rFonts w:hint="eastAsia" w:ascii="宋体" w:hAnsi="宋体" w:eastAsia="宋体" w:cs="宋体"/>
          <w:lang w:eastAsia="zh-CN"/>
        </w:rPr>
        <w:t>月</w:t>
      </w:r>
      <w:r>
        <w:rPr>
          <w:lang w:eastAsia="zh-CN"/>
        </w:rPr>
        <w:t>17</w:t>
      </w:r>
      <w:r>
        <w:rPr>
          <w:rFonts w:hint="eastAsia" w:ascii="宋体" w:hAnsi="宋体" w:eastAsia="宋体" w:cs="宋体"/>
          <w:lang w:eastAsia="zh-CN"/>
        </w:rPr>
        <w:t>日批准的第</w:t>
      </w:r>
      <w:r>
        <w:rPr>
          <w:lang w:eastAsia="zh-CN"/>
        </w:rPr>
        <w:t>124</w:t>
      </w:r>
      <w:r>
        <w:rPr>
          <w:rFonts w:hint="eastAsia" w:ascii="宋体" w:hAnsi="宋体" w:eastAsia="宋体" w:cs="宋体"/>
          <w:lang w:eastAsia="zh-CN"/>
        </w:rPr>
        <w:t>号《乌克兰农业政策和粮食部条例》第</w:t>
      </w:r>
      <w:r>
        <w:rPr>
          <w:lang w:eastAsia="zh-CN"/>
        </w:rPr>
        <w:t>8</w:t>
      </w:r>
      <w:r>
        <w:rPr>
          <w:rFonts w:hint="eastAsia" w:ascii="宋体" w:hAnsi="宋体" w:eastAsia="宋体" w:cs="宋体"/>
          <w:lang w:eastAsia="zh-CN"/>
        </w:rPr>
        <w:t>条，</w:t>
      </w:r>
    </w:p>
    <w:p w14:paraId="1A34C6C6">
      <w:pPr>
        <w:ind w:left="116"/>
        <w:rPr>
          <w:b/>
          <w:sz w:val="26"/>
        </w:rPr>
      </w:pPr>
      <w:r>
        <w:rPr>
          <w:rFonts w:hint="eastAsia" w:ascii="宋体" w:hAnsi="宋体" w:eastAsia="宋体" w:cs="宋体"/>
          <w:b/>
          <w:sz w:val="26"/>
        </w:rPr>
        <w:t>命令如下：</w:t>
      </w:r>
    </w:p>
    <w:p w14:paraId="67999C38">
      <w:pPr>
        <w:pStyle w:val="8"/>
        <w:numPr>
          <w:ilvl w:val="0"/>
          <w:numId w:val="1"/>
        </w:numPr>
        <w:tabs>
          <w:tab w:val="left" w:pos="619"/>
        </w:tabs>
        <w:spacing w:before="149"/>
        <w:ind w:right="0" w:hanging="362"/>
        <w:jc w:val="both"/>
        <w:rPr>
          <w:sz w:val="26"/>
          <w:lang w:eastAsia="zh-CN"/>
        </w:rPr>
      </w:pPr>
      <w:r>
        <w:rPr>
          <w:rFonts w:hint="eastAsia" w:ascii="宋体" w:hAnsi="宋体" w:eastAsia="宋体" w:cs="宋体"/>
          <w:sz w:val="26"/>
          <w:szCs w:val="26"/>
          <w:lang w:eastAsia="zh-CN"/>
        </w:rPr>
        <w:t>批准随附的食用酪蛋白和酪蛋白酸盐卫生要求。</w:t>
      </w:r>
    </w:p>
    <w:p w14:paraId="6464B9B9">
      <w:pPr>
        <w:pStyle w:val="8"/>
        <w:numPr>
          <w:ilvl w:val="0"/>
          <w:numId w:val="1"/>
        </w:numPr>
        <w:tabs>
          <w:tab w:val="left" w:pos="825"/>
        </w:tabs>
        <w:spacing w:before="150" w:line="360" w:lineRule="auto"/>
        <w:ind w:left="116" w:right="105" w:firstLine="360"/>
        <w:jc w:val="both"/>
        <w:rPr>
          <w:sz w:val="26"/>
          <w:lang w:eastAsia="zh-CN"/>
        </w:rPr>
      </w:pPr>
      <w:r>
        <w:rPr>
          <w:rFonts w:hint="eastAsia" w:ascii="宋体" w:hAnsi="宋体" w:eastAsia="宋体" w:cs="宋体"/>
          <w:sz w:val="26"/>
          <w:szCs w:val="26"/>
          <w:lang w:eastAsia="zh-CN"/>
        </w:rPr>
        <w:t>规定符合本命令生效前有效要求但不符合本命令批准的食用酪蛋白和酪蛋白酸盐卫生要求规定的食用酪蛋白和酪蛋白酸盐，自本命令生效之日起三年内可以流通。此类食品可以流通，直到其食用日期或其最短保质期到期。</w:t>
      </w:r>
    </w:p>
    <w:p w14:paraId="3FBC56A5">
      <w:pPr>
        <w:pStyle w:val="8"/>
        <w:numPr>
          <w:ilvl w:val="0"/>
          <w:numId w:val="1"/>
        </w:numPr>
        <w:tabs>
          <w:tab w:val="left" w:pos="825"/>
        </w:tabs>
        <w:spacing w:line="360" w:lineRule="auto"/>
        <w:ind w:left="116" w:right="109" w:firstLine="360"/>
        <w:jc w:val="both"/>
        <w:rPr>
          <w:sz w:val="26"/>
          <w:lang w:eastAsia="zh-CN"/>
        </w:rPr>
      </w:pPr>
      <w:r>
        <w:rPr>
          <w:rFonts w:hint="eastAsia" w:ascii="宋体" w:hAnsi="宋体" w:eastAsia="宋体" w:cs="宋体"/>
          <w:sz w:val="26"/>
          <w:szCs w:val="26"/>
          <w:lang w:eastAsia="zh-CN"/>
        </w:rPr>
        <w:t>卫生与植物检疫措施和食品安全领域国家政策司应确保按照法律规定的程序向乌克兰司法部提交国家注册命令。</w:t>
      </w:r>
    </w:p>
    <w:p w14:paraId="333E49F6">
      <w:pPr>
        <w:pStyle w:val="8"/>
        <w:numPr>
          <w:ilvl w:val="0"/>
          <w:numId w:val="1"/>
        </w:numPr>
        <w:tabs>
          <w:tab w:val="left" w:pos="825"/>
        </w:tabs>
        <w:ind w:left="824" w:right="0" w:hanging="349"/>
        <w:jc w:val="both"/>
        <w:rPr>
          <w:sz w:val="26"/>
          <w:lang w:eastAsia="zh-CN"/>
        </w:rPr>
      </w:pPr>
      <w:r>
        <w:rPr>
          <w:rFonts w:hint="eastAsia" w:ascii="宋体" w:hAnsi="宋体" w:eastAsia="宋体" w:cs="宋体"/>
          <w:sz w:val="26"/>
          <w:szCs w:val="26"/>
          <w:lang w:eastAsia="zh-CN"/>
        </w:rPr>
        <w:t>本法令在正式公布后</w:t>
      </w:r>
      <w:r>
        <w:rPr>
          <w:sz w:val="26"/>
          <w:szCs w:val="26"/>
          <w:lang w:eastAsia="zh-CN"/>
        </w:rPr>
        <w:t>6</w:t>
      </w:r>
      <w:r>
        <w:rPr>
          <w:rFonts w:hint="eastAsia" w:ascii="宋体" w:hAnsi="宋体" w:eastAsia="宋体" w:cs="宋体"/>
          <w:sz w:val="26"/>
          <w:szCs w:val="26"/>
          <w:lang w:eastAsia="zh-CN"/>
        </w:rPr>
        <w:t>个月生效。</w:t>
      </w:r>
    </w:p>
    <w:p w14:paraId="5438FA5F">
      <w:pPr>
        <w:pStyle w:val="8"/>
        <w:numPr>
          <w:ilvl w:val="0"/>
          <w:numId w:val="1"/>
        </w:numPr>
        <w:tabs>
          <w:tab w:val="left" w:pos="825"/>
        </w:tabs>
        <w:spacing w:before="149" w:line="360" w:lineRule="auto"/>
        <w:ind w:left="116" w:firstLine="360"/>
        <w:jc w:val="both"/>
        <w:rPr>
          <w:sz w:val="26"/>
          <w:lang w:eastAsia="zh-CN"/>
        </w:rPr>
      </w:pPr>
      <w:r>
        <w:rPr>
          <w:rFonts w:hint="eastAsia" w:ascii="宋体" w:hAnsi="宋体" w:eastAsia="宋体" w:cs="宋体"/>
          <w:sz w:val="26"/>
          <w:szCs w:val="26"/>
          <w:lang w:eastAsia="zh-CN"/>
        </w:rPr>
        <w:t>应根据职责分工，将本命令的执行控制交给副部长。</w:t>
      </w:r>
    </w:p>
    <w:p w14:paraId="54BADF0D">
      <w:pPr>
        <w:spacing w:line="360" w:lineRule="auto"/>
        <w:jc w:val="both"/>
        <w:rPr>
          <w:sz w:val="26"/>
          <w:lang w:eastAsia="zh-CN"/>
        </w:rPr>
        <w:sectPr>
          <w:type w:val="continuous"/>
          <w:pgSz w:w="11910" w:h="16840"/>
          <w:pgMar w:top="760" w:right="740" w:bottom="280" w:left="1300" w:header="720" w:footer="720" w:gutter="0"/>
          <w:cols w:space="720" w:num="1"/>
        </w:sectPr>
      </w:pPr>
    </w:p>
    <w:p w14:paraId="42A8C305">
      <w:pPr>
        <w:spacing w:before="72"/>
        <w:ind w:left="2572" w:right="891"/>
        <w:jc w:val="center"/>
        <w:rPr>
          <w:b/>
          <w:sz w:val="26"/>
          <w:lang w:eastAsia="zh-CN"/>
        </w:rPr>
      </w:pPr>
      <w:r>
        <w:rPr>
          <w:rFonts w:hint="eastAsia" w:ascii="宋体" w:hAnsi="宋体" w:eastAsia="宋体" w:cs="宋体"/>
          <w:b/>
          <w:sz w:val="26"/>
          <w:szCs w:val="26"/>
          <w:lang w:eastAsia="zh-CN"/>
        </w:rPr>
        <w:t>批准</w:t>
      </w:r>
    </w:p>
    <w:p w14:paraId="523A0ECA">
      <w:pPr>
        <w:spacing w:before="45" w:line="276" w:lineRule="auto"/>
        <w:ind w:left="5195" w:hanging="51"/>
        <w:rPr>
          <w:b/>
          <w:sz w:val="26"/>
          <w:lang w:eastAsia="zh-CN"/>
        </w:rPr>
      </w:pPr>
      <w:r>
        <w:rPr>
          <w:rFonts w:hint="eastAsia" w:ascii="宋体" w:hAnsi="宋体" w:eastAsia="宋体" w:cs="宋体"/>
          <w:b/>
          <w:sz w:val="26"/>
          <w:szCs w:val="26"/>
          <w:lang w:eastAsia="zh-CN"/>
        </w:rPr>
        <w:t>乌克兰农业政策和粮食部命令</w:t>
      </w:r>
    </w:p>
    <w:p w14:paraId="7849A8F5">
      <w:pPr>
        <w:tabs>
          <w:tab w:val="left" w:pos="7571"/>
          <w:tab w:val="left" w:pos="9184"/>
        </w:tabs>
        <w:ind w:left="4451"/>
        <w:rPr>
          <w:b/>
          <w:sz w:val="26"/>
          <w:lang w:eastAsia="zh-CN"/>
        </w:rPr>
      </w:pPr>
      <w:r>
        <w:rPr>
          <w:b/>
          <w:sz w:val="26"/>
          <w:u w:val="single"/>
          <w:lang w:eastAsia="zh-CN"/>
        </w:rPr>
        <w:tab/>
      </w:r>
      <w:bookmarkStart w:id="0" w:name="_GoBack"/>
      <w:bookmarkEnd w:id="0"/>
      <w:r>
        <w:rPr>
          <w:b/>
          <w:sz w:val="26"/>
          <w:u w:val="single"/>
          <w:lang w:eastAsia="zh-CN"/>
        </w:rPr>
        <w:tab/>
      </w:r>
    </w:p>
    <w:p w14:paraId="19132BF8">
      <w:pPr>
        <w:pStyle w:val="2"/>
        <w:ind w:left="0" w:firstLine="0"/>
        <w:rPr>
          <w:b/>
          <w:lang w:eastAsia="zh-CN"/>
        </w:rPr>
      </w:pPr>
    </w:p>
    <w:p w14:paraId="281E0F9F">
      <w:pPr>
        <w:spacing w:before="89"/>
        <w:ind w:left="898" w:right="532"/>
        <w:jc w:val="center"/>
        <w:rPr>
          <w:b/>
          <w:sz w:val="26"/>
          <w:lang w:eastAsia="zh-CN"/>
        </w:rPr>
      </w:pPr>
      <w:r>
        <w:rPr>
          <w:rFonts w:hint="eastAsia" w:ascii="宋体" w:hAnsi="宋体" w:eastAsia="宋体" w:cs="宋体"/>
          <w:b/>
          <w:sz w:val="26"/>
          <w:szCs w:val="26"/>
          <w:lang w:eastAsia="zh-CN"/>
        </w:rPr>
        <w:t>食用酪蛋白和酪蛋白酸盐的卫生要求</w:t>
      </w:r>
    </w:p>
    <w:p w14:paraId="12B09EF9">
      <w:pPr>
        <w:pStyle w:val="2"/>
        <w:spacing w:before="9"/>
        <w:ind w:left="0" w:firstLine="0"/>
        <w:rPr>
          <w:b/>
          <w:sz w:val="33"/>
          <w:lang w:eastAsia="zh-CN"/>
        </w:rPr>
      </w:pPr>
    </w:p>
    <w:p w14:paraId="50524BE3">
      <w:pPr>
        <w:pStyle w:val="8"/>
        <w:numPr>
          <w:ilvl w:val="0"/>
          <w:numId w:val="2"/>
        </w:numPr>
        <w:tabs>
          <w:tab w:val="left" w:pos="825"/>
        </w:tabs>
        <w:spacing w:line="360" w:lineRule="auto"/>
        <w:ind w:left="116" w:right="106" w:firstLine="360"/>
        <w:jc w:val="both"/>
        <w:rPr>
          <w:sz w:val="26"/>
          <w:lang w:eastAsia="zh-CN"/>
        </w:rPr>
      </w:pPr>
      <w:r>
        <w:rPr>
          <w:rFonts w:hint="eastAsia" w:ascii="宋体" w:hAnsi="宋体" w:eastAsia="宋体" w:cs="宋体"/>
          <w:sz w:val="26"/>
          <w:szCs w:val="26"/>
          <w:lang w:eastAsia="zh-CN"/>
        </w:rPr>
        <w:t>这些要求适用于这些要求第</w:t>
      </w:r>
      <w:r>
        <w:rPr>
          <w:sz w:val="26"/>
          <w:szCs w:val="26"/>
          <w:lang w:eastAsia="zh-CN"/>
        </w:rPr>
        <w:t>2</w:t>
      </w:r>
      <w:r>
        <w:rPr>
          <w:rFonts w:hint="eastAsia" w:ascii="宋体" w:hAnsi="宋体" w:eastAsia="宋体" w:cs="宋体"/>
          <w:sz w:val="26"/>
          <w:szCs w:val="26"/>
          <w:lang w:eastAsia="zh-CN"/>
        </w:rPr>
        <w:t>条中规定的食用酪蛋白和酪蛋白酸盐类型及其混合物，以通过标签确保适当的消费者意识，并防止误导消费者的企业行为。</w:t>
      </w:r>
    </w:p>
    <w:p w14:paraId="5DF2C7A7">
      <w:pPr>
        <w:pStyle w:val="8"/>
        <w:numPr>
          <w:ilvl w:val="0"/>
          <w:numId w:val="2"/>
        </w:numPr>
        <w:tabs>
          <w:tab w:val="left" w:pos="825"/>
        </w:tabs>
        <w:ind w:left="824" w:right="0" w:hanging="349"/>
        <w:jc w:val="both"/>
        <w:rPr>
          <w:sz w:val="26"/>
          <w:lang w:eastAsia="zh-CN"/>
        </w:rPr>
      </w:pPr>
      <w:r>
        <w:rPr>
          <w:rFonts w:hint="eastAsia" w:ascii="宋体" w:hAnsi="宋体" w:eastAsia="宋体" w:cs="宋体"/>
          <w:sz w:val="26"/>
          <w:szCs w:val="26"/>
          <w:lang w:eastAsia="zh-CN"/>
        </w:rPr>
        <w:t>在这些要求中，以下术语具有以下含义：</w:t>
      </w:r>
    </w:p>
    <w:p w14:paraId="22B66A65">
      <w:pPr>
        <w:pStyle w:val="8"/>
        <w:numPr>
          <w:ilvl w:val="0"/>
          <w:numId w:val="3"/>
        </w:numPr>
        <w:tabs>
          <w:tab w:val="left" w:pos="825"/>
        </w:tabs>
        <w:spacing w:before="150" w:line="360" w:lineRule="auto"/>
        <w:ind w:left="116" w:right="106" w:firstLine="360"/>
        <w:jc w:val="both"/>
        <w:rPr>
          <w:sz w:val="26"/>
          <w:lang w:eastAsia="zh-CN"/>
        </w:rPr>
      </w:pPr>
      <w:r>
        <w:rPr>
          <w:rFonts w:hint="eastAsia" w:ascii="宋体" w:hAnsi="宋体" w:eastAsia="宋体" w:cs="宋体"/>
          <w:sz w:val="26"/>
          <w:szCs w:val="26"/>
          <w:lang w:eastAsia="zh-CN"/>
        </w:rPr>
        <w:t>食用酪蛋白酸盐</w:t>
      </w:r>
      <w:r>
        <w:rPr>
          <w:sz w:val="26"/>
          <w:szCs w:val="26"/>
          <w:lang w:eastAsia="zh-CN"/>
        </w:rPr>
        <w:t>-</w:t>
      </w:r>
      <w:r>
        <w:rPr>
          <w:rFonts w:hint="eastAsia" w:ascii="宋体" w:hAnsi="宋体" w:eastAsia="宋体" w:cs="宋体"/>
          <w:sz w:val="26"/>
          <w:szCs w:val="26"/>
          <w:lang w:eastAsia="zh-CN"/>
        </w:rPr>
        <w:t>通过食用酪蛋白或食用酪蛋白凝结物与中和剂的作用，然后干燥获得的乳制品；</w:t>
      </w:r>
    </w:p>
    <w:p w14:paraId="7A4C9BAC">
      <w:pPr>
        <w:pStyle w:val="8"/>
        <w:numPr>
          <w:ilvl w:val="0"/>
          <w:numId w:val="3"/>
        </w:numPr>
        <w:tabs>
          <w:tab w:val="left" w:pos="890"/>
        </w:tabs>
        <w:spacing w:line="360" w:lineRule="auto"/>
        <w:ind w:left="116" w:right="108" w:firstLine="360"/>
        <w:jc w:val="both"/>
        <w:rPr>
          <w:sz w:val="26"/>
          <w:lang w:eastAsia="zh-CN"/>
        </w:rPr>
      </w:pPr>
      <w:r>
        <w:rPr>
          <w:rFonts w:hint="eastAsia" w:ascii="宋体" w:hAnsi="宋体" w:eastAsia="宋体" w:cs="宋体"/>
          <w:sz w:val="26"/>
          <w:szCs w:val="26"/>
          <w:lang w:eastAsia="zh-CN"/>
        </w:rPr>
        <w:t>食用酸性酪蛋白</w:t>
      </w:r>
      <w:r>
        <w:rPr>
          <w:sz w:val="26"/>
          <w:szCs w:val="26"/>
          <w:lang w:eastAsia="zh-CN"/>
        </w:rPr>
        <w:t>-</w:t>
      </w:r>
      <w:r>
        <w:rPr>
          <w:rFonts w:hint="eastAsia" w:ascii="宋体" w:hAnsi="宋体" w:eastAsia="宋体" w:cs="宋体"/>
          <w:sz w:val="26"/>
          <w:szCs w:val="26"/>
          <w:lang w:eastAsia="zh-CN"/>
        </w:rPr>
        <w:t>通过分离、洗涤和干燥脱脂乳和</w:t>
      </w:r>
      <w:r>
        <w:rPr>
          <w:sz w:val="26"/>
          <w:szCs w:val="26"/>
          <w:lang w:eastAsia="zh-CN"/>
        </w:rPr>
        <w:t>/</w:t>
      </w:r>
      <w:r>
        <w:rPr>
          <w:rFonts w:hint="eastAsia" w:ascii="宋体" w:hAnsi="宋体" w:eastAsia="宋体" w:cs="宋体"/>
          <w:sz w:val="26"/>
          <w:szCs w:val="26"/>
          <w:lang w:eastAsia="zh-CN"/>
        </w:rPr>
        <w:t>或其他乳制品的酸沉淀凝结物获得的乳制品；</w:t>
      </w:r>
    </w:p>
    <w:p w14:paraId="70960962">
      <w:pPr>
        <w:pStyle w:val="8"/>
        <w:numPr>
          <w:ilvl w:val="0"/>
          <w:numId w:val="3"/>
        </w:numPr>
        <w:tabs>
          <w:tab w:val="left" w:pos="825"/>
        </w:tabs>
        <w:spacing w:line="360" w:lineRule="auto"/>
        <w:ind w:left="116" w:right="108" w:firstLine="360"/>
        <w:jc w:val="both"/>
        <w:rPr>
          <w:sz w:val="26"/>
          <w:lang w:eastAsia="zh-CN"/>
        </w:rPr>
      </w:pPr>
      <w:r>
        <w:rPr>
          <w:rFonts w:hint="eastAsia" w:ascii="宋体" w:hAnsi="宋体" w:eastAsia="宋体" w:cs="宋体"/>
          <w:sz w:val="26"/>
          <w:szCs w:val="26"/>
          <w:lang w:eastAsia="zh-CN"/>
        </w:rPr>
        <w:t>食用凝乳酶酪蛋白是通过分离、洗涤和干燥脱脂乳和/或其他乳制品与凝乳酶或其他凝固酶反应获得的凝结物而获得的乳制品。</w:t>
      </w:r>
    </w:p>
    <w:p w14:paraId="198D9475">
      <w:pPr>
        <w:pStyle w:val="8"/>
        <w:numPr>
          <w:ilvl w:val="0"/>
          <w:numId w:val="2"/>
        </w:numPr>
        <w:tabs>
          <w:tab w:val="left" w:pos="825"/>
        </w:tabs>
        <w:spacing w:line="360" w:lineRule="auto"/>
        <w:ind w:left="116" w:firstLine="360"/>
        <w:jc w:val="both"/>
        <w:rPr>
          <w:sz w:val="26"/>
          <w:lang w:eastAsia="zh-CN"/>
        </w:rPr>
      </w:pPr>
      <w:r>
        <w:rPr>
          <w:rFonts w:hint="eastAsia" w:ascii="宋体" w:hAnsi="宋体" w:eastAsia="宋体" w:cs="宋体"/>
          <w:sz w:val="26"/>
          <w:szCs w:val="26"/>
          <w:lang w:eastAsia="zh-CN"/>
        </w:rPr>
        <w:t>其它术语的含义由乌克兰法律</w:t>
      </w:r>
      <w:r>
        <w:rPr>
          <w:sz w:val="26"/>
          <w:szCs w:val="26"/>
          <w:lang w:eastAsia="zh-CN"/>
        </w:rPr>
        <w:t>“</w:t>
      </w:r>
      <w:r>
        <w:rPr>
          <w:rFonts w:hint="eastAsia" w:ascii="宋体" w:hAnsi="宋体" w:eastAsia="宋体" w:cs="宋体"/>
          <w:sz w:val="26"/>
          <w:szCs w:val="26"/>
          <w:lang w:eastAsia="zh-CN"/>
        </w:rPr>
        <w:t>关于食品安全和质量的基本原则和要求</w:t>
      </w:r>
      <w:r>
        <w:rPr>
          <w:sz w:val="26"/>
          <w:szCs w:val="26"/>
          <w:lang w:eastAsia="zh-CN"/>
        </w:rPr>
        <w:t>”</w:t>
      </w:r>
      <w:r>
        <w:rPr>
          <w:rFonts w:hint="eastAsia" w:ascii="宋体" w:hAnsi="宋体" w:eastAsia="宋体" w:cs="宋体"/>
          <w:sz w:val="26"/>
          <w:szCs w:val="26"/>
          <w:lang w:eastAsia="zh-CN"/>
        </w:rPr>
        <w:t>、</w:t>
      </w:r>
      <w:r>
        <w:rPr>
          <w:sz w:val="26"/>
          <w:szCs w:val="26"/>
          <w:lang w:eastAsia="zh-CN"/>
        </w:rPr>
        <w:t>“</w:t>
      </w:r>
      <w:r>
        <w:rPr>
          <w:rFonts w:hint="eastAsia" w:ascii="宋体" w:hAnsi="宋体" w:eastAsia="宋体" w:cs="宋体"/>
          <w:sz w:val="26"/>
          <w:szCs w:val="26"/>
          <w:lang w:eastAsia="zh-CN"/>
        </w:rPr>
        <w:t>关于食品的消费者信息</w:t>
      </w:r>
      <w:r>
        <w:rPr>
          <w:sz w:val="26"/>
          <w:szCs w:val="26"/>
          <w:lang w:eastAsia="zh-CN"/>
        </w:rPr>
        <w:t>”</w:t>
      </w:r>
      <w:r>
        <w:rPr>
          <w:rFonts w:hint="eastAsia" w:ascii="宋体" w:hAnsi="宋体" w:eastAsia="宋体" w:cs="宋体"/>
          <w:sz w:val="26"/>
          <w:szCs w:val="26"/>
          <w:lang w:eastAsia="zh-CN"/>
        </w:rPr>
        <w:t>、</w:t>
      </w:r>
      <w:r>
        <w:rPr>
          <w:sz w:val="26"/>
          <w:szCs w:val="26"/>
          <w:lang w:eastAsia="zh-CN"/>
        </w:rPr>
        <w:t>“</w:t>
      </w:r>
      <w:r>
        <w:rPr>
          <w:rFonts w:hint="eastAsia" w:ascii="宋体" w:hAnsi="宋体" w:eastAsia="宋体" w:cs="宋体"/>
          <w:sz w:val="26"/>
          <w:szCs w:val="26"/>
          <w:lang w:eastAsia="zh-CN"/>
        </w:rPr>
        <w:t>关于乳和乳制品</w:t>
      </w:r>
      <w:r>
        <w:rPr>
          <w:sz w:val="26"/>
          <w:szCs w:val="26"/>
          <w:lang w:eastAsia="zh-CN"/>
        </w:rPr>
        <w:t>”</w:t>
      </w:r>
      <w:r>
        <w:rPr>
          <w:rFonts w:hint="eastAsia" w:ascii="宋体" w:hAnsi="宋体" w:eastAsia="宋体" w:cs="宋体"/>
          <w:sz w:val="26"/>
          <w:szCs w:val="26"/>
          <w:lang w:eastAsia="zh-CN"/>
        </w:rPr>
        <w:t>规定。</w:t>
      </w:r>
    </w:p>
    <w:p w14:paraId="3A5BD70C">
      <w:pPr>
        <w:pStyle w:val="8"/>
        <w:numPr>
          <w:ilvl w:val="0"/>
          <w:numId w:val="2"/>
        </w:numPr>
        <w:tabs>
          <w:tab w:val="left" w:pos="890"/>
        </w:tabs>
        <w:spacing w:line="360" w:lineRule="auto"/>
        <w:ind w:left="116" w:right="106" w:firstLine="360"/>
        <w:jc w:val="both"/>
        <w:rPr>
          <w:sz w:val="26"/>
          <w:lang w:eastAsia="zh-CN"/>
        </w:rPr>
      </w:pPr>
      <w:r>
        <w:rPr>
          <w:rFonts w:hint="eastAsia" w:ascii="宋体" w:hAnsi="宋体" w:eastAsia="宋体" w:cs="宋体"/>
          <w:sz w:val="26"/>
          <w:szCs w:val="26"/>
          <w:lang w:eastAsia="zh-CN"/>
        </w:rPr>
        <w:t>这些要求第</w:t>
      </w:r>
      <w:r>
        <w:rPr>
          <w:sz w:val="26"/>
          <w:szCs w:val="26"/>
          <w:lang w:eastAsia="zh-CN"/>
        </w:rPr>
        <w:t>2</w:t>
      </w:r>
      <w:r>
        <w:rPr>
          <w:rFonts w:hint="eastAsia" w:ascii="宋体" w:hAnsi="宋体" w:eastAsia="宋体" w:cs="宋体"/>
          <w:sz w:val="26"/>
          <w:szCs w:val="26"/>
          <w:lang w:eastAsia="zh-CN"/>
        </w:rPr>
        <w:t>条中定义的术语是食品名称，只有符合这些要求的相关规定和这些要求附件中规定的适用于食用酪蛋白酸盐和酪蛋白的标准，才能使用这些食品名称。</w:t>
      </w:r>
    </w:p>
    <w:p w14:paraId="7BF774CF">
      <w:pPr>
        <w:pStyle w:val="8"/>
        <w:numPr>
          <w:ilvl w:val="0"/>
          <w:numId w:val="2"/>
        </w:numPr>
        <w:tabs>
          <w:tab w:val="left" w:pos="825"/>
        </w:tabs>
        <w:spacing w:line="360" w:lineRule="auto"/>
        <w:ind w:left="116" w:firstLine="360"/>
        <w:jc w:val="both"/>
        <w:rPr>
          <w:sz w:val="26"/>
          <w:lang w:eastAsia="zh-CN"/>
        </w:rPr>
      </w:pPr>
      <w:r>
        <w:rPr>
          <w:rFonts w:hint="eastAsia" w:ascii="宋体" w:hAnsi="宋体" w:eastAsia="宋体" w:cs="宋体"/>
          <w:sz w:val="26"/>
          <w:szCs w:val="26"/>
          <w:lang w:eastAsia="zh-CN"/>
        </w:rPr>
        <w:t>禁止将本要求第</w:t>
      </w:r>
      <w:r>
        <w:rPr>
          <w:sz w:val="26"/>
          <w:szCs w:val="26"/>
          <w:lang w:eastAsia="zh-CN"/>
        </w:rPr>
        <w:t>2</w:t>
      </w:r>
      <w:r>
        <w:rPr>
          <w:rFonts w:hint="eastAsia" w:ascii="宋体" w:hAnsi="宋体" w:eastAsia="宋体" w:cs="宋体"/>
          <w:sz w:val="26"/>
          <w:szCs w:val="26"/>
          <w:lang w:eastAsia="zh-CN"/>
        </w:rPr>
        <w:t>条规定的食品用于食品目的，如果这些食品不符合本要求附件第</w:t>
      </w:r>
      <w:r>
        <w:rPr>
          <w:sz w:val="26"/>
          <w:szCs w:val="26"/>
          <w:lang w:eastAsia="zh-CN"/>
        </w:rPr>
        <w:t>2</w:t>
      </w:r>
      <w:r>
        <w:rPr>
          <w:rFonts w:hint="eastAsia" w:ascii="宋体" w:hAnsi="宋体" w:eastAsia="宋体" w:cs="宋体"/>
          <w:sz w:val="26"/>
          <w:szCs w:val="26"/>
          <w:lang w:eastAsia="zh-CN"/>
        </w:rPr>
        <w:t>条和第</w:t>
      </w:r>
      <w:r>
        <w:rPr>
          <w:sz w:val="26"/>
          <w:szCs w:val="26"/>
          <w:lang w:eastAsia="zh-CN"/>
        </w:rPr>
        <w:t>3</w:t>
      </w:r>
      <w:r>
        <w:rPr>
          <w:rFonts w:hint="eastAsia" w:ascii="宋体" w:hAnsi="宋体" w:eastAsia="宋体" w:cs="宋体"/>
          <w:sz w:val="26"/>
          <w:szCs w:val="26"/>
          <w:lang w:eastAsia="zh-CN"/>
        </w:rPr>
        <w:t>条规定的某些物质和添加剂含量的最大允许限量要求。如果此类产品用于其它目的，其名称和标签不应在其特性和预期用途方面误导消费者。</w:t>
      </w:r>
    </w:p>
    <w:p w14:paraId="5AAE0AF2">
      <w:pPr>
        <w:pStyle w:val="8"/>
        <w:numPr>
          <w:ilvl w:val="0"/>
          <w:numId w:val="2"/>
        </w:numPr>
        <w:tabs>
          <w:tab w:val="left" w:pos="825"/>
        </w:tabs>
        <w:spacing w:line="360" w:lineRule="auto"/>
        <w:ind w:left="116" w:right="108" w:firstLine="360"/>
        <w:jc w:val="both"/>
        <w:rPr>
          <w:sz w:val="26"/>
          <w:lang w:eastAsia="zh-CN"/>
        </w:rPr>
      </w:pPr>
      <w:r>
        <w:rPr>
          <w:rFonts w:hint="eastAsia" w:ascii="宋体" w:hAnsi="宋体" w:eastAsia="宋体" w:cs="宋体"/>
          <w:sz w:val="26"/>
          <w:szCs w:val="26"/>
          <w:lang w:eastAsia="zh-CN"/>
        </w:rPr>
        <w:t>本要求第</w:t>
      </w:r>
      <w:r>
        <w:rPr>
          <w:sz w:val="26"/>
          <w:szCs w:val="26"/>
          <w:lang w:eastAsia="zh-CN"/>
        </w:rPr>
        <w:t>2</w:t>
      </w:r>
      <w:r>
        <w:rPr>
          <w:rFonts w:hint="eastAsia" w:ascii="宋体" w:hAnsi="宋体" w:eastAsia="宋体" w:cs="宋体"/>
          <w:sz w:val="26"/>
          <w:szCs w:val="26"/>
          <w:lang w:eastAsia="zh-CN"/>
        </w:rPr>
        <w:t>条规定的食品标签应包含其名称，以及以下信息：</w:t>
      </w:r>
    </w:p>
    <w:p w14:paraId="455BDAD8">
      <w:pPr>
        <w:pStyle w:val="8"/>
        <w:numPr>
          <w:ilvl w:val="0"/>
          <w:numId w:val="4"/>
        </w:numPr>
        <w:tabs>
          <w:tab w:val="left" w:pos="825"/>
        </w:tabs>
        <w:ind w:right="0" w:hanging="349"/>
        <w:jc w:val="both"/>
        <w:rPr>
          <w:sz w:val="26"/>
          <w:lang w:eastAsia="zh-CN"/>
        </w:rPr>
      </w:pPr>
      <w:r>
        <w:rPr>
          <w:rFonts w:hint="eastAsia" w:ascii="宋体" w:hAnsi="宋体" w:eastAsia="宋体" w:cs="宋体"/>
          <w:sz w:val="26"/>
          <w:szCs w:val="26"/>
          <w:lang w:eastAsia="zh-CN"/>
        </w:rPr>
        <w:t>产品的净数量，以千克或克表示；</w:t>
      </w:r>
    </w:p>
    <w:p w14:paraId="57E22A66">
      <w:pPr>
        <w:jc w:val="both"/>
        <w:rPr>
          <w:sz w:val="26"/>
          <w:lang w:eastAsia="zh-CN"/>
        </w:rPr>
        <w:sectPr>
          <w:pgSz w:w="11910" w:h="16840"/>
          <w:pgMar w:top="760" w:right="740" w:bottom="280" w:left="1300" w:header="720" w:footer="720" w:gutter="0"/>
          <w:cols w:space="720" w:num="1"/>
        </w:sectPr>
      </w:pPr>
    </w:p>
    <w:p w14:paraId="046CBC3F">
      <w:pPr>
        <w:pStyle w:val="8"/>
        <w:numPr>
          <w:ilvl w:val="0"/>
          <w:numId w:val="4"/>
        </w:numPr>
        <w:tabs>
          <w:tab w:val="left" w:pos="825"/>
        </w:tabs>
        <w:spacing w:before="72" w:line="360" w:lineRule="auto"/>
        <w:ind w:left="116" w:right="106" w:firstLine="360"/>
        <w:jc w:val="both"/>
        <w:rPr>
          <w:sz w:val="26"/>
          <w:lang w:eastAsia="zh-CN"/>
        </w:rPr>
      </w:pPr>
      <w:r>
        <w:rPr>
          <w:rFonts w:hint="eastAsia" w:ascii="宋体" w:hAnsi="宋体" w:eastAsia="宋体" w:cs="宋体"/>
          <w:sz w:val="26"/>
          <w:szCs w:val="26"/>
          <w:lang w:eastAsia="zh-CN"/>
        </w:rPr>
        <w:t>负责产品信息和进口食品的企业经营者的名称和地点</w:t>
      </w:r>
      <w:r>
        <w:rPr>
          <w:sz w:val="26"/>
          <w:szCs w:val="26"/>
          <w:lang w:eastAsia="zh-CN"/>
        </w:rPr>
        <w:t>-</w:t>
      </w:r>
      <w:r>
        <w:rPr>
          <w:rFonts w:hint="eastAsia" w:ascii="宋体" w:hAnsi="宋体" w:eastAsia="宋体" w:cs="宋体"/>
          <w:sz w:val="26"/>
          <w:szCs w:val="26"/>
          <w:lang w:eastAsia="zh-CN"/>
        </w:rPr>
        <w:t>进口商的名称和地点，以及原产国的名称；</w:t>
      </w:r>
    </w:p>
    <w:p w14:paraId="2E5DAF58">
      <w:pPr>
        <w:pStyle w:val="8"/>
        <w:numPr>
          <w:ilvl w:val="0"/>
          <w:numId w:val="4"/>
        </w:numPr>
        <w:tabs>
          <w:tab w:val="left" w:pos="825"/>
        </w:tabs>
        <w:ind w:right="0" w:hanging="349"/>
        <w:jc w:val="both"/>
        <w:rPr>
          <w:sz w:val="26"/>
          <w:lang w:eastAsia="zh-CN"/>
        </w:rPr>
      </w:pPr>
      <w:r>
        <w:rPr>
          <w:sz w:val="26"/>
          <w:szCs w:val="26"/>
          <w:lang w:eastAsia="zh-CN"/>
        </w:rPr>
        <w:t>(a)</w:t>
      </w:r>
      <w:r>
        <w:rPr>
          <w:rFonts w:hint="eastAsia" w:ascii="宋体" w:hAnsi="宋体" w:eastAsia="宋体" w:cs="宋体"/>
          <w:sz w:val="26"/>
          <w:szCs w:val="26"/>
          <w:lang w:eastAsia="zh-CN"/>
        </w:rPr>
        <w:t>标识食品批次和生产日期的名称；</w:t>
      </w:r>
    </w:p>
    <w:p w14:paraId="3AC2AD2D">
      <w:pPr>
        <w:pStyle w:val="8"/>
        <w:numPr>
          <w:ilvl w:val="0"/>
          <w:numId w:val="4"/>
        </w:numPr>
        <w:tabs>
          <w:tab w:val="left" w:pos="825"/>
        </w:tabs>
        <w:spacing w:before="149" w:line="360" w:lineRule="auto"/>
        <w:ind w:left="116" w:firstLine="360"/>
        <w:rPr>
          <w:sz w:val="26"/>
          <w:lang w:eastAsia="zh-CN"/>
        </w:rPr>
      </w:pPr>
      <w:r>
        <w:rPr>
          <w:rFonts w:hint="eastAsia" w:ascii="宋体" w:hAnsi="宋体" w:eastAsia="宋体" w:cs="宋体"/>
          <w:sz w:val="26"/>
          <w:szCs w:val="26"/>
          <w:lang w:eastAsia="zh-CN"/>
        </w:rPr>
        <w:t>食用酪蛋白酸盐</w:t>
      </w:r>
      <w:r>
        <w:rPr>
          <w:sz w:val="26"/>
          <w:szCs w:val="26"/>
          <w:lang w:eastAsia="zh-CN"/>
        </w:rPr>
        <w:t>-</w:t>
      </w:r>
      <w:r>
        <w:rPr>
          <w:rFonts w:hint="eastAsia" w:ascii="宋体" w:hAnsi="宋体" w:eastAsia="宋体" w:cs="宋体"/>
          <w:sz w:val="26"/>
          <w:szCs w:val="26"/>
          <w:lang w:eastAsia="zh-CN"/>
        </w:rPr>
        <w:t>这些要求附件第</w:t>
      </w:r>
      <w:r>
        <w:rPr>
          <w:sz w:val="26"/>
          <w:szCs w:val="26"/>
          <w:lang w:eastAsia="zh-CN"/>
        </w:rPr>
        <w:t>4</w:t>
      </w:r>
      <w:r>
        <w:rPr>
          <w:rFonts w:hint="eastAsia" w:ascii="宋体" w:hAnsi="宋体" w:eastAsia="宋体" w:cs="宋体"/>
          <w:sz w:val="26"/>
          <w:szCs w:val="26"/>
          <w:lang w:eastAsia="zh-CN"/>
        </w:rPr>
        <w:t>条规定的食品添加剂的指示。</w:t>
      </w:r>
    </w:p>
    <w:p w14:paraId="2A2A4458">
      <w:pPr>
        <w:pStyle w:val="8"/>
        <w:numPr>
          <w:ilvl w:val="0"/>
          <w:numId w:val="2"/>
        </w:numPr>
        <w:tabs>
          <w:tab w:val="left" w:pos="825"/>
        </w:tabs>
        <w:spacing w:line="360" w:lineRule="auto"/>
        <w:ind w:left="116" w:firstLine="360"/>
        <w:rPr>
          <w:sz w:val="26"/>
          <w:lang w:eastAsia="zh-CN"/>
        </w:rPr>
      </w:pPr>
      <w:r>
        <w:rPr>
          <w:rFonts w:hint="eastAsia" w:ascii="宋体" w:hAnsi="宋体" w:eastAsia="宋体" w:cs="宋体"/>
          <w:sz w:val="26"/>
          <w:szCs w:val="26"/>
          <w:lang w:eastAsia="zh-CN"/>
        </w:rPr>
        <w:t>对于这些要求第</w:t>
      </w:r>
      <w:r>
        <w:rPr>
          <w:sz w:val="26"/>
          <w:szCs w:val="26"/>
          <w:lang w:eastAsia="zh-CN"/>
        </w:rPr>
        <w:t>2</w:t>
      </w:r>
      <w:r>
        <w:rPr>
          <w:rFonts w:hint="eastAsia" w:ascii="宋体" w:hAnsi="宋体" w:eastAsia="宋体" w:cs="宋体"/>
          <w:sz w:val="26"/>
          <w:szCs w:val="26"/>
          <w:lang w:eastAsia="zh-CN"/>
        </w:rPr>
        <w:t>条中规定的作为混合物销售的食品，应提供附加说明：</w:t>
      </w:r>
    </w:p>
    <w:p w14:paraId="6D6603AA">
      <w:pPr>
        <w:pStyle w:val="8"/>
        <w:numPr>
          <w:ilvl w:val="0"/>
          <w:numId w:val="5"/>
        </w:numPr>
        <w:tabs>
          <w:tab w:val="left" w:pos="825"/>
        </w:tabs>
        <w:spacing w:line="360" w:lineRule="auto"/>
        <w:ind w:left="116" w:firstLine="360"/>
        <w:rPr>
          <w:sz w:val="26"/>
          <w:lang w:eastAsia="zh-CN"/>
        </w:rPr>
      </w:pPr>
      <w:r>
        <w:rPr>
          <w:rFonts w:hint="eastAsia"/>
          <w:sz w:val="26"/>
          <w:szCs w:val="26"/>
          <w:lang w:eastAsia="zh-CN"/>
        </w:rPr>
        <w:t>“</w:t>
      </w:r>
      <w:r>
        <w:rPr>
          <w:rFonts w:hint="eastAsia" w:ascii="宋体" w:hAnsi="宋体" w:eastAsia="宋体" w:cs="宋体"/>
          <w:sz w:val="26"/>
          <w:szCs w:val="26"/>
          <w:lang w:eastAsia="zh-CN"/>
        </w:rPr>
        <w:t>混合物</w:t>
      </w:r>
      <w:r>
        <w:rPr>
          <w:sz w:val="26"/>
          <w:szCs w:val="26"/>
          <w:lang w:eastAsia="zh-CN"/>
        </w:rPr>
        <w:t>”</w:t>
      </w:r>
      <w:r>
        <w:rPr>
          <w:rFonts w:hint="eastAsia" w:ascii="宋体" w:hAnsi="宋体" w:eastAsia="宋体" w:cs="宋体"/>
          <w:sz w:val="26"/>
          <w:szCs w:val="26"/>
          <w:lang w:eastAsia="zh-CN"/>
        </w:rPr>
        <w:t>一词，后面是组成混合物的可食用酪蛋白和酪蛋白酸盐的列表，按在这种混合物中的重量递减顺序排列；</w:t>
      </w:r>
    </w:p>
    <w:p w14:paraId="02307CE2">
      <w:pPr>
        <w:pStyle w:val="8"/>
        <w:numPr>
          <w:ilvl w:val="0"/>
          <w:numId w:val="5"/>
        </w:numPr>
        <w:tabs>
          <w:tab w:val="left" w:pos="825"/>
        </w:tabs>
        <w:spacing w:line="360" w:lineRule="auto"/>
        <w:ind w:left="116" w:firstLine="360"/>
        <w:rPr>
          <w:sz w:val="26"/>
          <w:lang w:eastAsia="zh-CN"/>
        </w:rPr>
      </w:pPr>
      <w:r>
        <w:rPr>
          <w:rFonts w:hint="eastAsia" w:ascii="宋体" w:hAnsi="宋体" w:eastAsia="宋体" w:cs="宋体"/>
          <w:sz w:val="26"/>
          <w:szCs w:val="26"/>
          <w:lang w:eastAsia="zh-CN"/>
        </w:rPr>
        <w:t>在含有可食用酪蛋白酸盐的混合物中</w:t>
      </w:r>
      <w:r>
        <w:rPr>
          <w:sz w:val="26"/>
          <w:szCs w:val="26"/>
          <w:lang w:eastAsia="zh-CN"/>
        </w:rPr>
        <w:t>-</w:t>
      </w:r>
      <w:r>
        <w:rPr>
          <w:rFonts w:hint="eastAsia" w:ascii="宋体" w:hAnsi="宋体" w:eastAsia="宋体" w:cs="宋体"/>
          <w:sz w:val="26"/>
          <w:szCs w:val="26"/>
          <w:lang w:eastAsia="zh-CN"/>
        </w:rPr>
        <w:t>这些要求附件第</w:t>
      </w:r>
      <w:r>
        <w:rPr>
          <w:sz w:val="26"/>
          <w:szCs w:val="26"/>
          <w:lang w:eastAsia="zh-CN"/>
        </w:rPr>
        <w:t>4</w:t>
      </w:r>
      <w:r>
        <w:rPr>
          <w:rFonts w:hint="eastAsia" w:ascii="宋体" w:hAnsi="宋体" w:eastAsia="宋体" w:cs="宋体"/>
          <w:sz w:val="26"/>
          <w:szCs w:val="26"/>
          <w:lang w:eastAsia="zh-CN"/>
        </w:rPr>
        <w:t>条中列出的食品添加剂信息；</w:t>
      </w:r>
    </w:p>
    <w:p w14:paraId="73DDA070">
      <w:pPr>
        <w:pStyle w:val="8"/>
        <w:numPr>
          <w:ilvl w:val="0"/>
          <w:numId w:val="5"/>
        </w:numPr>
        <w:tabs>
          <w:tab w:val="left" w:pos="825"/>
        </w:tabs>
        <w:ind w:left="824" w:right="0" w:hanging="349"/>
        <w:rPr>
          <w:sz w:val="26"/>
          <w:lang w:eastAsia="zh-CN"/>
        </w:rPr>
      </w:pPr>
      <w:r>
        <w:rPr>
          <w:rFonts w:hint="eastAsia" w:ascii="宋体" w:hAnsi="宋体" w:eastAsia="宋体" w:cs="宋体"/>
          <w:sz w:val="26"/>
          <w:szCs w:val="26"/>
          <w:lang w:eastAsia="zh-CN"/>
        </w:rPr>
        <w:t>含有食用酪蛋白酸盐的混合物</w:t>
      </w:r>
      <w:r>
        <w:rPr>
          <w:sz w:val="26"/>
          <w:szCs w:val="26"/>
          <w:lang w:eastAsia="zh-CN"/>
        </w:rPr>
        <w:t>-</w:t>
      </w:r>
      <w:r>
        <w:rPr>
          <w:rFonts w:hint="eastAsia" w:ascii="宋体" w:hAnsi="宋体" w:eastAsia="宋体" w:cs="宋体"/>
          <w:sz w:val="26"/>
          <w:szCs w:val="26"/>
          <w:lang w:eastAsia="zh-CN"/>
        </w:rPr>
        <w:t>乳蛋白含量信息。</w:t>
      </w:r>
    </w:p>
    <w:p w14:paraId="5D18F083">
      <w:pPr>
        <w:pStyle w:val="8"/>
        <w:numPr>
          <w:ilvl w:val="0"/>
          <w:numId w:val="2"/>
        </w:numPr>
        <w:tabs>
          <w:tab w:val="left" w:pos="825"/>
        </w:tabs>
        <w:spacing w:before="150" w:line="360" w:lineRule="auto"/>
        <w:ind w:left="116" w:firstLine="360"/>
        <w:rPr>
          <w:sz w:val="26"/>
          <w:lang w:eastAsia="zh-CN"/>
        </w:rPr>
      </w:pPr>
      <w:r>
        <w:rPr>
          <w:rFonts w:hint="eastAsia" w:ascii="宋体" w:hAnsi="宋体" w:eastAsia="宋体" w:cs="宋体"/>
          <w:sz w:val="26"/>
          <w:szCs w:val="26"/>
          <w:lang w:eastAsia="zh-CN"/>
        </w:rPr>
        <w:t>这些要求第</w:t>
      </w:r>
      <w:r>
        <w:rPr>
          <w:sz w:val="26"/>
          <w:szCs w:val="26"/>
          <w:lang w:eastAsia="zh-CN"/>
        </w:rPr>
        <w:t>6</w:t>
      </w:r>
      <w:r>
        <w:rPr>
          <w:rFonts w:hint="eastAsia" w:ascii="宋体" w:hAnsi="宋体" w:eastAsia="宋体" w:cs="宋体"/>
          <w:sz w:val="26"/>
          <w:szCs w:val="26"/>
          <w:lang w:eastAsia="zh-CN"/>
        </w:rPr>
        <w:t>条和第</w:t>
      </w:r>
      <w:r>
        <w:rPr>
          <w:sz w:val="26"/>
          <w:szCs w:val="26"/>
          <w:lang w:eastAsia="zh-CN"/>
        </w:rPr>
        <w:t>7</w:t>
      </w:r>
      <w:r>
        <w:rPr>
          <w:rFonts w:hint="eastAsia" w:ascii="宋体" w:hAnsi="宋体" w:eastAsia="宋体" w:cs="宋体"/>
          <w:sz w:val="26"/>
          <w:szCs w:val="26"/>
          <w:lang w:eastAsia="zh-CN"/>
        </w:rPr>
        <w:t>条规定的信息应以国家语言提供，清晰易读，并以防止其删除的方式应用。</w:t>
      </w:r>
    </w:p>
    <w:p w14:paraId="7FD291A6">
      <w:pPr>
        <w:pStyle w:val="2"/>
        <w:spacing w:line="360" w:lineRule="auto"/>
        <w:rPr>
          <w:lang w:eastAsia="zh-CN"/>
        </w:rPr>
      </w:pPr>
      <w:r>
        <w:rPr>
          <w:rFonts w:hint="eastAsia" w:ascii="宋体" w:hAnsi="宋体" w:eastAsia="宋体" w:cs="宋体"/>
          <w:lang w:eastAsia="zh-CN"/>
        </w:rPr>
        <w:t>企业经营者可自行决定，将文本的其他语文译文放在国家语文文本旁边。</w:t>
      </w:r>
    </w:p>
    <w:p w14:paraId="3B6D25E8">
      <w:pPr>
        <w:pStyle w:val="8"/>
        <w:numPr>
          <w:ilvl w:val="0"/>
          <w:numId w:val="2"/>
        </w:numPr>
        <w:tabs>
          <w:tab w:val="left" w:pos="825"/>
        </w:tabs>
        <w:spacing w:line="360" w:lineRule="auto"/>
        <w:ind w:left="116" w:firstLine="360"/>
        <w:jc w:val="both"/>
        <w:rPr>
          <w:sz w:val="26"/>
          <w:lang w:eastAsia="zh-CN"/>
        </w:rPr>
      </w:pPr>
      <w:r>
        <w:rPr>
          <w:rFonts w:hint="eastAsia" w:ascii="宋体" w:hAnsi="宋体" w:eastAsia="宋体" w:cs="宋体"/>
          <w:sz w:val="26"/>
          <w:szCs w:val="26"/>
          <w:lang w:eastAsia="zh-CN"/>
        </w:rPr>
        <w:t>如果这些要求的食品涉及内容随附文件已经包含这些要求第</w:t>
      </w:r>
      <w:r>
        <w:rPr>
          <w:sz w:val="26"/>
          <w:szCs w:val="26"/>
          <w:lang w:eastAsia="zh-CN"/>
        </w:rPr>
        <w:t>6</w:t>
      </w:r>
      <w:r>
        <w:rPr>
          <w:rFonts w:hint="eastAsia" w:ascii="宋体" w:hAnsi="宋体" w:eastAsia="宋体" w:cs="宋体"/>
          <w:sz w:val="26"/>
          <w:szCs w:val="26"/>
          <w:lang w:eastAsia="zh-CN"/>
        </w:rPr>
        <w:t>段第</w:t>
      </w:r>
      <w:r>
        <w:rPr>
          <w:sz w:val="26"/>
          <w:szCs w:val="26"/>
          <w:lang w:eastAsia="zh-CN"/>
        </w:rPr>
        <w:t>1</w:t>
      </w:r>
      <w:r>
        <w:rPr>
          <w:rFonts w:hint="eastAsia" w:ascii="宋体" w:hAnsi="宋体" w:eastAsia="宋体" w:cs="宋体"/>
          <w:sz w:val="26"/>
          <w:szCs w:val="26"/>
          <w:lang w:eastAsia="zh-CN"/>
        </w:rPr>
        <w:t>、</w:t>
      </w:r>
      <w:r>
        <w:rPr>
          <w:sz w:val="26"/>
          <w:szCs w:val="26"/>
          <w:lang w:eastAsia="zh-CN"/>
        </w:rPr>
        <w:t>2</w:t>
      </w:r>
      <w:r>
        <w:rPr>
          <w:rFonts w:hint="eastAsia" w:ascii="宋体" w:hAnsi="宋体" w:eastAsia="宋体" w:cs="宋体"/>
          <w:sz w:val="26"/>
          <w:szCs w:val="26"/>
          <w:lang w:eastAsia="zh-CN"/>
        </w:rPr>
        <w:t>项和</w:t>
      </w:r>
      <w:r>
        <w:rPr>
          <w:sz w:val="26"/>
          <w:szCs w:val="26"/>
          <w:lang w:eastAsia="zh-CN"/>
        </w:rPr>
        <w:t>/</w:t>
      </w:r>
      <w:r>
        <w:rPr>
          <w:rFonts w:hint="eastAsia" w:ascii="宋体" w:hAnsi="宋体" w:eastAsia="宋体" w:cs="宋体"/>
          <w:sz w:val="26"/>
          <w:szCs w:val="26"/>
          <w:lang w:eastAsia="zh-CN"/>
        </w:rPr>
        <w:t>或第</w:t>
      </w:r>
      <w:r>
        <w:rPr>
          <w:sz w:val="26"/>
          <w:szCs w:val="26"/>
          <w:lang w:eastAsia="zh-CN"/>
        </w:rPr>
        <w:t>7</w:t>
      </w:r>
      <w:r>
        <w:rPr>
          <w:rFonts w:hint="eastAsia" w:ascii="宋体" w:hAnsi="宋体" w:eastAsia="宋体" w:cs="宋体"/>
          <w:sz w:val="26"/>
          <w:szCs w:val="26"/>
          <w:lang w:eastAsia="zh-CN"/>
        </w:rPr>
        <w:t>条第</w:t>
      </w:r>
      <w:r>
        <w:rPr>
          <w:sz w:val="26"/>
          <w:szCs w:val="26"/>
          <w:lang w:eastAsia="zh-CN"/>
        </w:rPr>
        <w:t>3</w:t>
      </w:r>
      <w:r>
        <w:rPr>
          <w:rFonts w:hint="eastAsia" w:ascii="宋体" w:hAnsi="宋体" w:eastAsia="宋体" w:cs="宋体"/>
          <w:sz w:val="26"/>
          <w:szCs w:val="26"/>
          <w:lang w:eastAsia="zh-CN"/>
        </w:rPr>
        <w:t>项规定的信息，则无需在产品的包装、容器或标签上重复这些信息。</w:t>
      </w:r>
    </w:p>
    <w:p w14:paraId="7A8DC11B">
      <w:pPr>
        <w:pStyle w:val="8"/>
        <w:numPr>
          <w:ilvl w:val="0"/>
          <w:numId w:val="2"/>
        </w:numPr>
        <w:tabs>
          <w:tab w:val="left" w:pos="890"/>
        </w:tabs>
        <w:spacing w:line="360" w:lineRule="auto"/>
        <w:ind w:left="116" w:firstLine="360"/>
        <w:jc w:val="both"/>
        <w:rPr>
          <w:sz w:val="26"/>
          <w:lang w:eastAsia="zh-CN"/>
        </w:rPr>
      </w:pPr>
      <w:r>
        <w:rPr>
          <w:rFonts w:hint="eastAsia" w:ascii="宋体" w:hAnsi="宋体" w:eastAsia="宋体" w:cs="宋体"/>
          <w:sz w:val="26"/>
          <w:szCs w:val="26"/>
          <w:lang w:eastAsia="zh-CN"/>
        </w:rPr>
        <w:t>在这些要求第</w:t>
      </w:r>
      <w:r>
        <w:rPr>
          <w:sz w:val="26"/>
          <w:szCs w:val="26"/>
          <w:lang w:eastAsia="zh-CN"/>
        </w:rPr>
        <w:t>2</w:t>
      </w:r>
      <w:r>
        <w:rPr>
          <w:rFonts w:hint="eastAsia" w:ascii="宋体" w:hAnsi="宋体" w:eastAsia="宋体" w:cs="宋体"/>
          <w:sz w:val="26"/>
          <w:szCs w:val="26"/>
          <w:lang w:eastAsia="zh-CN"/>
        </w:rPr>
        <w:t>条规定的食品标签上，企业经营者可以标明超过这些要求附件第</w:t>
      </w:r>
      <w:r>
        <w:rPr>
          <w:sz w:val="26"/>
          <w:szCs w:val="26"/>
          <w:lang w:eastAsia="zh-CN"/>
        </w:rPr>
        <w:t>1</w:t>
      </w:r>
      <w:r>
        <w:rPr>
          <w:rFonts w:hint="eastAsia" w:ascii="宋体" w:hAnsi="宋体" w:eastAsia="宋体" w:cs="宋体"/>
          <w:sz w:val="26"/>
          <w:szCs w:val="26"/>
          <w:lang w:eastAsia="zh-CN"/>
        </w:rPr>
        <w:t>条第</w:t>
      </w:r>
      <w:r>
        <w:rPr>
          <w:sz w:val="26"/>
          <w:szCs w:val="26"/>
          <w:lang w:eastAsia="zh-CN"/>
        </w:rPr>
        <w:t>2</w:t>
      </w:r>
      <w:r>
        <w:rPr>
          <w:rFonts w:hint="eastAsia" w:ascii="宋体" w:hAnsi="宋体" w:eastAsia="宋体" w:cs="宋体"/>
          <w:sz w:val="26"/>
          <w:szCs w:val="26"/>
          <w:lang w:eastAsia="zh-CN"/>
        </w:rPr>
        <w:t>款规定的最低乳蛋白含量的信息。</w:t>
      </w:r>
    </w:p>
    <w:p w14:paraId="1316EF31">
      <w:pPr>
        <w:pStyle w:val="2"/>
        <w:ind w:left="0" w:firstLine="0"/>
        <w:rPr>
          <w:sz w:val="28"/>
          <w:lang w:eastAsia="zh-CN"/>
        </w:rPr>
      </w:pPr>
    </w:p>
    <w:p w14:paraId="36FF3225">
      <w:pPr>
        <w:pStyle w:val="2"/>
        <w:ind w:left="0" w:firstLine="0"/>
        <w:rPr>
          <w:sz w:val="28"/>
          <w:lang w:eastAsia="zh-CN"/>
        </w:rPr>
      </w:pPr>
    </w:p>
    <w:p w14:paraId="685231C1">
      <w:pPr>
        <w:pStyle w:val="2"/>
        <w:ind w:left="0" w:firstLine="0"/>
        <w:rPr>
          <w:sz w:val="28"/>
          <w:lang w:eastAsia="zh-CN"/>
        </w:rPr>
      </w:pPr>
    </w:p>
    <w:p w14:paraId="61C646D6">
      <w:pPr>
        <w:pStyle w:val="2"/>
        <w:ind w:left="0" w:firstLine="0"/>
        <w:rPr>
          <w:sz w:val="28"/>
          <w:lang w:eastAsia="zh-CN"/>
        </w:rPr>
      </w:pPr>
    </w:p>
    <w:p w14:paraId="7CFD6059">
      <w:pPr>
        <w:pStyle w:val="2"/>
        <w:ind w:left="0" w:firstLine="0"/>
        <w:rPr>
          <w:sz w:val="28"/>
          <w:lang w:eastAsia="zh-CN"/>
        </w:rPr>
      </w:pPr>
    </w:p>
    <w:p w14:paraId="2FB7F907">
      <w:pPr>
        <w:pStyle w:val="2"/>
        <w:spacing w:before="4"/>
        <w:ind w:left="0" w:firstLine="0"/>
        <w:rPr>
          <w:sz w:val="39"/>
          <w:lang w:eastAsia="zh-CN"/>
        </w:rPr>
      </w:pPr>
    </w:p>
    <w:p w14:paraId="0ADDC04E">
      <w:pPr>
        <w:ind w:left="116"/>
        <w:rPr>
          <w:sz w:val="26"/>
          <w:lang w:eastAsia="zh-CN"/>
        </w:rPr>
      </w:pPr>
      <w:r>
        <w:rPr>
          <w:sz w:val="26"/>
          <w:lang w:eastAsia="zh-CN"/>
        </w:rPr>
        <w:t>:</w:t>
      </w:r>
    </w:p>
    <w:p w14:paraId="409F8256">
      <w:pPr>
        <w:rPr>
          <w:sz w:val="26"/>
          <w:lang w:eastAsia="zh-CN"/>
        </w:rPr>
        <w:sectPr>
          <w:pgSz w:w="11910" w:h="16840"/>
          <w:pgMar w:top="760" w:right="740" w:bottom="280" w:left="1300" w:header="720" w:footer="720" w:gutter="0"/>
          <w:cols w:space="720" w:num="1"/>
        </w:sectPr>
      </w:pPr>
    </w:p>
    <w:p w14:paraId="1018DDE8">
      <w:pPr>
        <w:pStyle w:val="2"/>
        <w:spacing w:before="4"/>
        <w:ind w:left="0" w:firstLine="0"/>
        <w:rPr>
          <w:sz w:val="19"/>
          <w:lang w:eastAsia="zh-CN"/>
        </w:rPr>
      </w:pPr>
    </w:p>
    <w:p w14:paraId="5CB6AE73">
      <w:pPr>
        <w:spacing w:before="89"/>
        <w:ind w:left="11450"/>
        <w:rPr>
          <w:b/>
          <w:sz w:val="26"/>
          <w:lang w:eastAsia="zh-CN"/>
        </w:rPr>
      </w:pPr>
      <w:r>
        <w:rPr>
          <w:rFonts w:hint="eastAsia" w:ascii="宋体" w:hAnsi="宋体" w:eastAsia="宋体" w:cs="宋体"/>
          <w:b/>
          <w:sz w:val="26"/>
          <w:szCs w:val="26"/>
          <w:lang w:eastAsia="zh-CN"/>
        </w:rPr>
        <w:t>附件</w:t>
      </w:r>
    </w:p>
    <w:p w14:paraId="2429CFC7">
      <w:pPr>
        <w:ind w:left="11450"/>
        <w:rPr>
          <w:b/>
          <w:sz w:val="26"/>
          <w:lang w:eastAsia="zh-CN"/>
        </w:rPr>
      </w:pPr>
      <w:r>
        <w:rPr>
          <w:rFonts w:hint="eastAsia" w:ascii="宋体" w:hAnsi="宋体" w:eastAsia="宋体" w:cs="宋体"/>
          <w:b/>
          <w:sz w:val="26"/>
          <w:szCs w:val="26"/>
          <w:lang w:eastAsia="zh-CN"/>
        </w:rPr>
        <w:t>食用酪蛋白和酪蛋白酸盐卫生要求</w:t>
      </w:r>
      <w:r>
        <w:rPr>
          <w:b/>
          <w:sz w:val="26"/>
          <w:szCs w:val="26"/>
          <w:lang w:eastAsia="zh-CN"/>
        </w:rPr>
        <w:t>(</w:t>
      </w:r>
      <w:r>
        <w:rPr>
          <w:rFonts w:hint="eastAsia" w:ascii="宋体" w:hAnsi="宋体" w:eastAsia="宋体" w:cs="宋体"/>
          <w:b/>
          <w:sz w:val="26"/>
          <w:szCs w:val="26"/>
          <w:lang w:eastAsia="zh-CN"/>
        </w:rPr>
        <w:t>第</w:t>
      </w:r>
      <w:r>
        <w:rPr>
          <w:b/>
          <w:sz w:val="26"/>
          <w:szCs w:val="26"/>
          <w:lang w:eastAsia="zh-CN"/>
        </w:rPr>
        <w:t>4</w:t>
      </w:r>
      <w:r>
        <w:rPr>
          <w:rFonts w:hint="eastAsia" w:ascii="宋体" w:hAnsi="宋体" w:eastAsia="宋体" w:cs="宋体"/>
          <w:b/>
          <w:sz w:val="26"/>
          <w:szCs w:val="26"/>
          <w:lang w:eastAsia="zh-CN"/>
        </w:rPr>
        <w:t>条</w:t>
      </w:r>
      <w:r>
        <w:rPr>
          <w:b/>
          <w:sz w:val="26"/>
          <w:szCs w:val="26"/>
          <w:lang w:eastAsia="zh-CN"/>
        </w:rPr>
        <w:t>)</w:t>
      </w:r>
    </w:p>
    <w:p w14:paraId="1B16C612">
      <w:pPr>
        <w:pStyle w:val="2"/>
        <w:spacing w:before="2"/>
        <w:ind w:left="0" w:firstLine="0"/>
        <w:rPr>
          <w:b/>
          <w:sz w:val="22"/>
          <w:lang w:eastAsia="zh-CN"/>
        </w:rPr>
      </w:pPr>
    </w:p>
    <w:p w14:paraId="5763E506">
      <w:pPr>
        <w:spacing w:before="89"/>
        <w:ind w:left="4864" w:right="4864"/>
        <w:jc w:val="center"/>
        <w:rPr>
          <w:b/>
          <w:sz w:val="26"/>
          <w:lang w:eastAsia="zh-CN"/>
        </w:rPr>
      </w:pPr>
      <w:r>
        <w:rPr>
          <w:rFonts w:hint="eastAsia" w:ascii="宋体" w:hAnsi="宋体" w:eastAsia="宋体" w:cs="宋体"/>
          <w:b/>
          <w:sz w:val="26"/>
          <w:szCs w:val="26"/>
          <w:lang w:eastAsia="zh-CN"/>
        </w:rPr>
        <w:t>适用于食用酪蛋白酸盐和酪蛋白的标准</w:t>
      </w:r>
    </w:p>
    <w:p w14:paraId="1B6BAD78">
      <w:pPr>
        <w:pStyle w:val="2"/>
        <w:spacing w:before="3" w:after="1"/>
        <w:ind w:left="0" w:firstLine="0"/>
        <w:rPr>
          <w:b/>
          <w:sz w:val="22"/>
          <w:lang w:eastAsia="zh-CN"/>
        </w:rPr>
      </w:pPr>
    </w:p>
    <w:tbl>
      <w:tblPr>
        <w:tblStyle w:val="7"/>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1"/>
        <w:gridCol w:w="2649"/>
        <w:gridCol w:w="4417"/>
        <w:gridCol w:w="800"/>
        <w:gridCol w:w="1772"/>
        <w:gridCol w:w="141"/>
        <w:gridCol w:w="1650"/>
        <w:gridCol w:w="3041"/>
      </w:tblGrid>
      <w:tr w14:paraId="0FDA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61" w:type="dxa"/>
          </w:tcPr>
          <w:p w14:paraId="136751B0">
            <w:pPr>
              <w:pStyle w:val="9"/>
              <w:jc w:val="center"/>
              <w:rPr>
                <w:b/>
                <w:sz w:val="25"/>
              </w:rPr>
            </w:pPr>
            <w:r>
              <w:rPr>
                <w:rFonts w:hint="eastAsia" w:ascii="宋体" w:hAnsi="宋体" w:eastAsia="宋体" w:cs="宋体"/>
                <w:b/>
                <w:sz w:val="25"/>
                <w:szCs w:val="25"/>
              </w:rPr>
              <w:t>没有。</w:t>
            </w:r>
          </w:p>
        </w:tc>
        <w:tc>
          <w:tcPr>
            <w:tcW w:w="2649" w:type="dxa"/>
          </w:tcPr>
          <w:p w14:paraId="109E8BC5">
            <w:pPr>
              <w:pStyle w:val="9"/>
              <w:jc w:val="center"/>
              <w:rPr>
                <w:b/>
                <w:sz w:val="25"/>
              </w:rPr>
            </w:pPr>
            <w:r>
              <w:rPr>
                <w:rFonts w:hint="eastAsia" w:ascii="宋体" w:hAnsi="宋体" w:eastAsia="宋体" w:cs="宋体"/>
                <w:b/>
                <w:sz w:val="25"/>
                <w:szCs w:val="25"/>
              </w:rPr>
              <w:t>标准</w:t>
            </w:r>
          </w:p>
        </w:tc>
        <w:tc>
          <w:tcPr>
            <w:tcW w:w="4417" w:type="dxa"/>
          </w:tcPr>
          <w:p w14:paraId="416D9E06">
            <w:pPr>
              <w:pStyle w:val="9"/>
              <w:jc w:val="center"/>
              <w:rPr>
                <w:b/>
                <w:sz w:val="25"/>
              </w:rPr>
            </w:pPr>
            <w:r>
              <w:rPr>
                <w:rFonts w:hint="eastAsia" w:ascii="宋体" w:hAnsi="宋体" w:eastAsia="宋体" w:cs="宋体"/>
                <w:b/>
                <w:sz w:val="25"/>
                <w:szCs w:val="25"/>
              </w:rPr>
              <w:t>指标</w:t>
            </w:r>
          </w:p>
        </w:tc>
        <w:tc>
          <w:tcPr>
            <w:tcW w:w="2572" w:type="dxa"/>
            <w:gridSpan w:val="2"/>
          </w:tcPr>
          <w:p w14:paraId="737914E2">
            <w:pPr>
              <w:pStyle w:val="9"/>
              <w:ind w:left="265"/>
              <w:rPr>
                <w:b/>
                <w:sz w:val="25"/>
              </w:rPr>
            </w:pPr>
            <w:r>
              <w:rPr>
                <w:rFonts w:hint="eastAsia" w:ascii="宋体" w:hAnsi="宋体" w:eastAsia="宋体" w:cs="宋体"/>
                <w:b/>
                <w:sz w:val="25"/>
                <w:szCs w:val="25"/>
              </w:rPr>
              <w:t>食用酸酪蛋白</w:t>
            </w:r>
          </w:p>
        </w:tc>
        <w:tc>
          <w:tcPr>
            <w:tcW w:w="1791" w:type="dxa"/>
            <w:gridSpan w:val="2"/>
          </w:tcPr>
          <w:p w14:paraId="31F2431E">
            <w:pPr>
              <w:pStyle w:val="9"/>
              <w:spacing w:line="280" w:lineRule="atLeast"/>
              <w:ind w:left="528" w:hanging="400"/>
              <w:rPr>
                <w:b/>
                <w:sz w:val="25"/>
              </w:rPr>
            </w:pPr>
            <w:r>
              <w:rPr>
                <w:rFonts w:hint="eastAsia" w:ascii="宋体" w:hAnsi="宋体" w:eastAsia="宋体" w:cs="宋体"/>
                <w:b/>
                <w:sz w:val="25"/>
                <w:szCs w:val="25"/>
              </w:rPr>
              <w:t>食用凝乳酶酪蛋白</w:t>
            </w:r>
          </w:p>
        </w:tc>
        <w:tc>
          <w:tcPr>
            <w:tcW w:w="3041" w:type="dxa"/>
          </w:tcPr>
          <w:p w14:paraId="193F0EE7">
            <w:pPr>
              <w:pStyle w:val="9"/>
              <w:jc w:val="center"/>
              <w:rPr>
                <w:b/>
                <w:sz w:val="25"/>
              </w:rPr>
            </w:pPr>
            <w:r>
              <w:rPr>
                <w:rFonts w:hint="eastAsia" w:ascii="宋体" w:hAnsi="宋体" w:eastAsia="宋体" w:cs="宋体"/>
                <w:b/>
                <w:sz w:val="25"/>
                <w:szCs w:val="25"/>
              </w:rPr>
              <w:t>食用酪蛋白酸盐</w:t>
            </w:r>
          </w:p>
        </w:tc>
      </w:tr>
      <w:tr w14:paraId="57927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1" w:type="dxa"/>
            <w:vMerge w:val="restart"/>
          </w:tcPr>
          <w:p w14:paraId="058CA4DD">
            <w:pPr>
              <w:pStyle w:val="9"/>
              <w:rPr>
                <w:b/>
                <w:sz w:val="28"/>
              </w:rPr>
            </w:pPr>
          </w:p>
          <w:p w14:paraId="413B9A86">
            <w:pPr>
              <w:pStyle w:val="9"/>
              <w:rPr>
                <w:b/>
                <w:sz w:val="28"/>
              </w:rPr>
            </w:pPr>
          </w:p>
          <w:p w14:paraId="5ACE61B6">
            <w:pPr>
              <w:pStyle w:val="9"/>
              <w:rPr>
                <w:b/>
                <w:sz w:val="28"/>
              </w:rPr>
            </w:pPr>
          </w:p>
          <w:p w14:paraId="1EB2C798">
            <w:pPr>
              <w:pStyle w:val="9"/>
              <w:rPr>
                <w:b/>
                <w:sz w:val="28"/>
              </w:rPr>
            </w:pPr>
          </w:p>
          <w:p w14:paraId="0349BE40">
            <w:pPr>
              <w:pStyle w:val="9"/>
              <w:rPr>
                <w:b/>
                <w:sz w:val="38"/>
              </w:rPr>
            </w:pPr>
          </w:p>
          <w:p w14:paraId="6F9C393D">
            <w:pPr>
              <w:pStyle w:val="9"/>
              <w:jc w:val="center"/>
              <w:rPr>
                <w:sz w:val="25"/>
              </w:rPr>
            </w:pPr>
            <w:r>
              <w:rPr>
                <w:spacing w:val="-5"/>
                <w:sz w:val="25"/>
              </w:rPr>
              <w:t>1.</w:t>
            </w:r>
          </w:p>
        </w:tc>
        <w:tc>
          <w:tcPr>
            <w:tcW w:w="2649" w:type="dxa"/>
            <w:vMerge w:val="restart"/>
          </w:tcPr>
          <w:p w14:paraId="376057F3">
            <w:pPr>
              <w:pStyle w:val="9"/>
              <w:rPr>
                <w:b/>
                <w:sz w:val="28"/>
              </w:rPr>
            </w:pPr>
          </w:p>
          <w:p w14:paraId="37CDC0DD">
            <w:pPr>
              <w:pStyle w:val="9"/>
              <w:rPr>
                <w:b/>
                <w:sz w:val="28"/>
              </w:rPr>
            </w:pPr>
          </w:p>
          <w:p w14:paraId="29F9693C">
            <w:pPr>
              <w:pStyle w:val="9"/>
              <w:rPr>
                <w:b/>
                <w:sz w:val="28"/>
              </w:rPr>
            </w:pPr>
          </w:p>
          <w:p w14:paraId="00D5847A">
            <w:pPr>
              <w:pStyle w:val="9"/>
              <w:rPr>
                <w:b/>
                <w:sz w:val="28"/>
              </w:rPr>
            </w:pPr>
          </w:p>
          <w:p w14:paraId="6458ED67">
            <w:pPr>
              <w:pStyle w:val="9"/>
              <w:rPr>
                <w:b/>
                <w:sz w:val="28"/>
              </w:rPr>
            </w:pPr>
          </w:p>
          <w:p w14:paraId="6BE9893B">
            <w:pPr>
              <w:pStyle w:val="9"/>
              <w:rPr>
                <w:b/>
                <w:sz w:val="35"/>
              </w:rPr>
            </w:pPr>
          </w:p>
          <w:p w14:paraId="58CCE475">
            <w:pPr>
              <w:pStyle w:val="9"/>
              <w:ind w:left="706" w:hanging="340"/>
              <w:rPr>
                <w:sz w:val="25"/>
              </w:rPr>
            </w:pPr>
            <w:r>
              <w:rPr>
                <w:rFonts w:hint="eastAsia" w:ascii="宋体" w:hAnsi="宋体" w:eastAsia="宋体" w:cs="宋体"/>
                <w:sz w:val="25"/>
                <w:szCs w:val="25"/>
              </w:rPr>
              <w:t>构成要素</w:t>
            </w:r>
          </w:p>
        </w:tc>
        <w:tc>
          <w:tcPr>
            <w:tcW w:w="4417" w:type="dxa"/>
          </w:tcPr>
          <w:p w14:paraId="7566C2E7">
            <w:pPr>
              <w:pStyle w:val="9"/>
              <w:spacing w:line="267" w:lineRule="exact"/>
              <w:ind w:left="108"/>
              <w:rPr>
                <w:sz w:val="25"/>
              </w:rPr>
            </w:pPr>
            <w:r>
              <w:rPr>
                <w:sz w:val="25"/>
                <w:szCs w:val="25"/>
              </w:rPr>
              <w:t>1)</w:t>
            </w:r>
            <w:r>
              <w:rPr>
                <w:rFonts w:hint="eastAsia" w:ascii="宋体" w:hAnsi="宋体" w:eastAsia="宋体" w:cs="宋体"/>
                <w:sz w:val="25"/>
                <w:szCs w:val="25"/>
              </w:rPr>
              <w:t>最大含水量</w:t>
            </w:r>
          </w:p>
        </w:tc>
        <w:tc>
          <w:tcPr>
            <w:tcW w:w="4363" w:type="dxa"/>
            <w:gridSpan w:val="4"/>
          </w:tcPr>
          <w:p w14:paraId="562A6633">
            <w:pPr>
              <w:pStyle w:val="9"/>
              <w:spacing w:line="267" w:lineRule="exact"/>
              <w:ind w:left="1387"/>
              <w:rPr>
                <w:sz w:val="25"/>
              </w:rPr>
            </w:pPr>
            <w:r>
              <w:rPr>
                <w:sz w:val="25"/>
                <w:szCs w:val="25"/>
              </w:rPr>
              <w:t>12</w:t>
            </w:r>
            <w:r>
              <w:rPr>
                <w:rFonts w:hint="eastAsia" w:ascii="宋体" w:hAnsi="宋体" w:eastAsia="宋体" w:cs="宋体"/>
                <w:sz w:val="25"/>
                <w:szCs w:val="25"/>
              </w:rPr>
              <w:t>重量</w:t>
            </w:r>
            <w:r>
              <w:rPr>
                <w:sz w:val="25"/>
                <w:szCs w:val="25"/>
              </w:rPr>
              <w:t>%</w:t>
            </w:r>
          </w:p>
        </w:tc>
        <w:tc>
          <w:tcPr>
            <w:tcW w:w="3041" w:type="dxa"/>
          </w:tcPr>
          <w:p w14:paraId="4B28FDBA">
            <w:pPr>
              <w:pStyle w:val="9"/>
              <w:spacing w:line="267" w:lineRule="exact"/>
              <w:jc w:val="center"/>
              <w:rPr>
                <w:sz w:val="25"/>
              </w:rPr>
            </w:pPr>
            <w:r>
              <w:rPr>
                <w:sz w:val="25"/>
                <w:szCs w:val="25"/>
              </w:rPr>
              <w:t>8</w:t>
            </w:r>
            <w:r>
              <w:rPr>
                <w:rFonts w:hint="eastAsia" w:ascii="宋体" w:hAnsi="宋体" w:eastAsia="宋体" w:cs="宋体"/>
                <w:sz w:val="25"/>
                <w:szCs w:val="25"/>
              </w:rPr>
              <w:t>重量</w:t>
            </w:r>
            <w:r>
              <w:rPr>
                <w:sz w:val="25"/>
                <w:szCs w:val="25"/>
              </w:rPr>
              <w:t>%</w:t>
            </w:r>
          </w:p>
        </w:tc>
      </w:tr>
      <w:tr w14:paraId="6B136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661" w:type="dxa"/>
            <w:vMerge w:val="continue"/>
            <w:tcBorders>
              <w:top w:val="nil"/>
            </w:tcBorders>
          </w:tcPr>
          <w:p w14:paraId="6EEF18A5">
            <w:pPr>
              <w:rPr>
                <w:sz w:val="2"/>
                <w:szCs w:val="2"/>
              </w:rPr>
            </w:pPr>
          </w:p>
        </w:tc>
        <w:tc>
          <w:tcPr>
            <w:tcW w:w="2649" w:type="dxa"/>
            <w:vMerge w:val="continue"/>
            <w:tcBorders>
              <w:top w:val="nil"/>
            </w:tcBorders>
          </w:tcPr>
          <w:p w14:paraId="22FDF254">
            <w:pPr>
              <w:rPr>
                <w:sz w:val="2"/>
                <w:szCs w:val="2"/>
              </w:rPr>
            </w:pPr>
          </w:p>
        </w:tc>
        <w:tc>
          <w:tcPr>
            <w:tcW w:w="4417" w:type="dxa"/>
          </w:tcPr>
          <w:p w14:paraId="4D22733B">
            <w:pPr>
              <w:pStyle w:val="9"/>
              <w:ind w:left="108"/>
              <w:rPr>
                <w:sz w:val="25"/>
                <w:lang w:eastAsia="zh-CN"/>
              </w:rPr>
            </w:pPr>
            <w:r>
              <w:rPr>
                <w:sz w:val="25"/>
                <w:szCs w:val="25"/>
                <w:lang w:eastAsia="zh-CN"/>
              </w:rPr>
              <w:t>2)</w:t>
            </w:r>
            <w:r>
              <w:rPr>
                <w:rFonts w:hint="eastAsia" w:ascii="宋体" w:hAnsi="宋体" w:eastAsia="宋体" w:cs="宋体"/>
                <w:sz w:val="25"/>
                <w:szCs w:val="25"/>
                <w:lang w:eastAsia="zh-CN"/>
              </w:rPr>
              <w:t>根据干燥提取物计算的最低乳蛋白含量</w:t>
            </w:r>
          </w:p>
        </w:tc>
        <w:tc>
          <w:tcPr>
            <w:tcW w:w="2572" w:type="dxa"/>
            <w:gridSpan w:val="2"/>
          </w:tcPr>
          <w:p w14:paraId="0550E849">
            <w:pPr>
              <w:pStyle w:val="9"/>
              <w:rPr>
                <w:b/>
                <w:sz w:val="25"/>
                <w:lang w:eastAsia="zh-CN"/>
              </w:rPr>
            </w:pPr>
          </w:p>
          <w:p w14:paraId="79974798">
            <w:pPr>
              <w:pStyle w:val="9"/>
              <w:ind w:left="497"/>
              <w:rPr>
                <w:sz w:val="25"/>
              </w:rPr>
            </w:pPr>
            <w:r>
              <w:rPr>
                <w:sz w:val="25"/>
                <w:szCs w:val="25"/>
              </w:rPr>
              <w:t>90</w:t>
            </w:r>
            <w:r>
              <w:rPr>
                <w:rFonts w:hint="eastAsia" w:ascii="宋体" w:hAnsi="宋体" w:eastAsia="宋体" w:cs="宋体"/>
                <w:sz w:val="25"/>
                <w:szCs w:val="25"/>
              </w:rPr>
              <w:t>重量</w:t>
            </w:r>
            <w:r>
              <w:rPr>
                <w:sz w:val="25"/>
                <w:szCs w:val="25"/>
              </w:rPr>
              <w:t>%</w:t>
            </w:r>
          </w:p>
        </w:tc>
        <w:tc>
          <w:tcPr>
            <w:tcW w:w="1791" w:type="dxa"/>
            <w:gridSpan w:val="2"/>
          </w:tcPr>
          <w:p w14:paraId="4AD16229">
            <w:pPr>
              <w:pStyle w:val="9"/>
              <w:spacing w:before="3"/>
              <w:rPr>
                <w:b/>
                <w:sz w:val="23"/>
              </w:rPr>
            </w:pPr>
          </w:p>
          <w:p w14:paraId="7EE1B698">
            <w:pPr>
              <w:pStyle w:val="9"/>
              <w:spacing w:line="280" w:lineRule="atLeast"/>
              <w:ind w:left="549" w:hanging="77"/>
              <w:rPr>
                <w:sz w:val="25"/>
              </w:rPr>
            </w:pPr>
            <w:r>
              <w:rPr>
                <w:sz w:val="25"/>
                <w:szCs w:val="25"/>
              </w:rPr>
              <w:t>84</w:t>
            </w:r>
            <w:r>
              <w:rPr>
                <w:rFonts w:hint="eastAsia" w:ascii="宋体" w:hAnsi="宋体" w:eastAsia="宋体" w:cs="宋体"/>
                <w:sz w:val="25"/>
                <w:szCs w:val="25"/>
              </w:rPr>
              <w:t>重量</w:t>
            </w:r>
            <w:r>
              <w:rPr>
                <w:sz w:val="25"/>
                <w:szCs w:val="25"/>
              </w:rPr>
              <w:t>%</w:t>
            </w:r>
          </w:p>
        </w:tc>
        <w:tc>
          <w:tcPr>
            <w:tcW w:w="3041" w:type="dxa"/>
          </w:tcPr>
          <w:p w14:paraId="428005EE">
            <w:pPr>
              <w:pStyle w:val="9"/>
              <w:rPr>
                <w:b/>
                <w:sz w:val="25"/>
              </w:rPr>
            </w:pPr>
          </w:p>
          <w:p w14:paraId="792CE44C">
            <w:pPr>
              <w:pStyle w:val="9"/>
              <w:jc w:val="center"/>
              <w:rPr>
                <w:sz w:val="25"/>
              </w:rPr>
            </w:pPr>
            <w:r>
              <w:rPr>
                <w:sz w:val="25"/>
                <w:szCs w:val="25"/>
              </w:rPr>
              <w:t>88</w:t>
            </w:r>
            <w:r>
              <w:rPr>
                <w:rFonts w:hint="eastAsia" w:ascii="宋体" w:hAnsi="宋体" w:eastAsia="宋体" w:cs="宋体"/>
                <w:sz w:val="25"/>
                <w:szCs w:val="25"/>
              </w:rPr>
              <w:t>重量</w:t>
            </w:r>
            <w:r>
              <w:rPr>
                <w:sz w:val="25"/>
                <w:szCs w:val="25"/>
              </w:rPr>
              <w:t>%</w:t>
            </w:r>
          </w:p>
        </w:tc>
      </w:tr>
      <w:tr w14:paraId="17127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1" w:type="dxa"/>
            <w:vMerge w:val="continue"/>
            <w:tcBorders>
              <w:top w:val="nil"/>
            </w:tcBorders>
          </w:tcPr>
          <w:p w14:paraId="1C691E7E">
            <w:pPr>
              <w:rPr>
                <w:sz w:val="2"/>
                <w:szCs w:val="2"/>
              </w:rPr>
            </w:pPr>
          </w:p>
        </w:tc>
        <w:tc>
          <w:tcPr>
            <w:tcW w:w="2649" w:type="dxa"/>
            <w:vMerge w:val="continue"/>
            <w:tcBorders>
              <w:top w:val="nil"/>
            </w:tcBorders>
          </w:tcPr>
          <w:p w14:paraId="270E8D0C">
            <w:pPr>
              <w:rPr>
                <w:sz w:val="2"/>
                <w:szCs w:val="2"/>
              </w:rPr>
            </w:pPr>
          </w:p>
        </w:tc>
        <w:tc>
          <w:tcPr>
            <w:tcW w:w="4417" w:type="dxa"/>
          </w:tcPr>
          <w:p w14:paraId="176A76EE">
            <w:pPr>
              <w:pStyle w:val="9"/>
              <w:spacing w:line="267" w:lineRule="exact"/>
              <w:ind w:left="108"/>
              <w:rPr>
                <w:sz w:val="25"/>
              </w:rPr>
            </w:pPr>
            <w:r>
              <w:rPr>
                <w:rFonts w:hint="eastAsia" w:ascii="宋体" w:hAnsi="宋体" w:eastAsia="宋体" w:cs="宋体"/>
                <w:sz w:val="25"/>
                <w:szCs w:val="25"/>
              </w:rPr>
              <w:t>其中最小酪蛋白含量</w:t>
            </w:r>
          </w:p>
        </w:tc>
        <w:tc>
          <w:tcPr>
            <w:tcW w:w="7404" w:type="dxa"/>
            <w:gridSpan w:val="5"/>
          </w:tcPr>
          <w:p w14:paraId="4200E65B">
            <w:pPr>
              <w:pStyle w:val="9"/>
              <w:spacing w:line="267" w:lineRule="exact"/>
              <w:jc w:val="center"/>
              <w:rPr>
                <w:sz w:val="25"/>
              </w:rPr>
            </w:pPr>
            <w:r>
              <w:rPr>
                <w:sz w:val="25"/>
                <w:szCs w:val="25"/>
              </w:rPr>
              <w:t>95</w:t>
            </w:r>
            <w:r>
              <w:rPr>
                <w:rFonts w:hint="eastAsia" w:ascii="宋体" w:hAnsi="宋体" w:eastAsia="宋体" w:cs="宋体"/>
                <w:sz w:val="25"/>
                <w:szCs w:val="25"/>
              </w:rPr>
              <w:t>重量</w:t>
            </w:r>
            <w:r>
              <w:rPr>
                <w:sz w:val="25"/>
                <w:szCs w:val="25"/>
              </w:rPr>
              <w:t>%</w:t>
            </w:r>
          </w:p>
        </w:tc>
      </w:tr>
      <w:tr w14:paraId="5FB57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1" w:type="dxa"/>
            <w:vMerge w:val="continue"/>
            <w:tcBorders>
              <w:top w:val="nil"/>
            </w:tcBorders>
          </w:tcPr>
          <w:p w14:paraId="7A489291">
            <w:pPr>
              <w:rPr>
                <w:sz w:val="2"/>
                <w:szCs w:val="2"/>
              </w:rPr>
            </w:pPr>
          </w:p>
        </w:tc>
        <w:tc>
          <w:tcPr>
            <w:tcW w:w="2649" w:type="dxa"/>
            <w:vMerge w:val="continue"/>
            <w:tcBorders>
              <w:top w:val="nil"/>
            </w:tcBorders>
          </w:tcPr>
          <w:p w14:paraId="130175D1">
            <w:pPr>
              <w:rPr>
                <w:sz w:val="2"/>
                <w:szCs w:val="2"/>
              </w:rPr>
            </w:pPr>
          </w:p>
        </w:tc>
        <w:tc>
          <w:tcPr>
            <w:tcW w:w="4417" w:type="dxa"/>
          </w:tcPr>
          <w:p w14:paraId="6FDCEE8B">
            <w:pPr>
              <w:pStyle w:val="9"/>
              <w:spacing w:line="267" w:lineRule="exact"/>
              <w:ind w:left="108"/>
              <w:rPr>
                <w:sz w:val="25"/>
              </w:rPr>
            </w:pPr>
            <w:r>
              <w:rPr>
                <w:sz w:val="25"/>
                <w:szCs w:val="25"/>
              </w:rPr>
              <w:t>3)</w:t>
            </w:r>
            <w:r>
              <w:rPr>
                <w:rFonts w:hint="eastAsia" w:ascii="宋体" w:hAnsi="宋体" w:eastAsia="宋体" w:cs="宋体"/>
                <w:sz w:val="25"/>
                <w:szCs w:val="25"/>
              </w:rPr>
              <w:t>最大乳脂含量</w:t>
            </w:r>
          </w:p>
        </w:tc>
        <w:tc>
          <w:tcPr>
            <w:tcW w:w="7404" w:type="dxa"/>
            <w:gridSpan w:val="5"/>
          </w:tcPr>
          <w:p w14:paraId="0D59035A">
            <w:pPr>
              <w:pStyle w:val="9"/>
              <w:tabs>
                <w:tab w:val="left" w:pos="3429"/>
              </w:tabs>
              <w:spacing w:line="267" w:lineRule="exact"/>
              <w:ind w:left="3069"/>
              <w:rPr>
                <w:sz w:val="25"/>
              </w:rPr>
            </w:pPr>
            <w:r>
              <w:rPr>
                <w:spacing w:val="-10"/>
                <w:sz w:val="25"/>
              </w:rPr>
              <w:t>2</w:t>
            </w:r>
            <w:r>
              <w:rPr>
                <w:sz w:val="25"/>
              </w:rPr>
              <w:tab/>
            </w:r>
            <w:r>
              <w:rPr>
                <w:rFonts w:hint="eastAsia" w:ascii="宋体" w:hAnsi="宋体" w:eastAsia="宋体" w:cs="宋体"/>
                <w:sz w:val="25"/>
                <w:szCs w:val="25"/>
              </w:rPr>
              <w:t>重量百分比</w:t>
            </w:r>
          </w:p>
        </w:tc>
      </w:tr>
      <w:tr w14:paraId="295D9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661" w:type="dxa"/>
            <w:vMerge w:val="continue"/>
            <w:tcBorders>
              <w:top w:val="nil"/>
            </w:tcBorders>
          </w:tcPr>
          <w:p w14:paraId="148B1A8A">
            <w:pPr>
              <w:rPr>
                <w:sz w:val="2"/>
                <w:szCs w:val="2"/>
              </w:rPr>
            </w:pPr>
          </w:p>
        </w:tc>
        <w:tc>
          <w:tcPr>
            <w:tcW w:w="2649" w:type="dxa"/>
            <w:vMerge w:val="continue"/>
            <w:tcBorders>
              <w:top w:val="nil"/>
            </w:tcBorders>
          </w:tcPr>
          <w:p w14:paraId="4554C4D4">
            <w:pPr>
              <w:rPr>
                <w:sz w:val="2"/>
                <w:szCs w:val="2"/>
              </w:rPr>
            </w:pPr>
          </w:p>
        </w:tc>
        <w:tc>
          <w:tcPr>
            <w:tcW w:w="4417" w:type="dxa"/>
          </w:tcPr>
          <w:p w14:paraId="1A61BBCC">
            <w:pPr>
              <w:pStyle w:val="9"/>
              <w:spacing w:line="280" w:lineRule="atLeast"/>
              <w:ind w:left="108" w:right="75"/>
              <w:rPr>
                <w:sz w:val="25"/>
                <w:lang w:eastAsia="zh-CN"/>
              </w:rPr>
            </w:pPr>
            <w:r>
              <w:rPr>
                <w:sz w:val="25"/>
                <w:szCs w:val="25"/>
                <w:lang w:eastAsia="zh-CN"/>
              </w:rPr>
              <w:t>4)</w:t>
            </w:r>
            <w:r>
              <w:rPr>
                <w:rFonts w:hint="eastAsia" w:ascii="宋体" w:hAnsi="宋体" w:eastAsia="宋体" w:cs="宋体"/>
                <w:sz w:val="25"/>
                <w:szCs w:val="25"/>
                <w:lang w:eastAsia="zh-CN"/>
              </w:rPr>
              <w:t>最大可滴定酸度，以毫升十进制氢氧化钠溶液</w:t>
            </w:r>
            <w:r>
              <w:rPr>
                <w:sz w:val="25"/>
                <w:szCs w:val="25"/>
                <w:lang w:eastAsia="zh-CN"/>
              </w:rPr>
              <w:t>/g</w:t>
            </w:r>
            <w:r>
              <w:rPr>
                <w:rFonts w:hint="eastAsia" w:ascii="宋体" w:hAnsi="宋体" w:eastAsia="宋体" w:cs="宋体"/>
                <w:sz w:val="25"/>
                <w:szCs w:val="25"/>
                <w:lang w:eastAsia="zh-CN"/>
              </w:rPr>
              <w:t>表示</w:t>
            </w:r>
          </w:p>
        </w:tc>
        <w:tc>
          <w:tcPr>
            <w:tcW w:w="2572" w:type="dxa"/>
            <w:gridSpan w:val="2"/>
          </w:tcPr>
          <w:p w14:paraId="04869620">
            <w:pPr>
              <w:pStyle w:val="9"/>
              <w:rPr>
                <w:b/>
                <w:sz w:val="25"/>
                <w:lang w:eastAsia="zh-CN"/>
              </w:rPr>
            </w:pPr>
          </w:p>
          <w:p w14:paraId="613F98F0">
            <w:pPr>
              <w:pStyle w:val="9"/>
              <w:jc w:val="center"/>
              <w:rPr>
                <w:sz w:val="25"/>
              </w:rPr>
            </w:pPr>
            <w:r>
              <w:rPr>
                <w:spacing w:val="-4"/>
                <w:sz w:val="25"/>
              </w:rPr>
              <w:t>0,27</w:t>
            </w:r>
          </w:p>
        </w:tc>
        <w:tc>
          <w:tcPr>
            <w:tcW w:w="1791" w:type="dxa"/>
            <w:gridSpan w:val="2"/>
          </w:tcPr>
          <w:p w14:paraId="5A68BF2E">
            <w:pPr>
              <w:pStyle w:val="9"/>
              <w:rPr>
                <w:sz w:val="24"/>
              </w:rPr>
            </w:pPr>
          </w:p>
        </w:tc>
        <w:tc>
          <w:tcPr>
            <w:tcW w:w="3041" w:type="dxa"/>
          </w:tcPr>
          <w:p w14:paraId="0D86A4C8">
            <w:pPr>
              <w:pStyle w:val="9"/>
              <w:rPr>
                <w:sz w:val="24"/>
              </w:rPr>
            </w:pPr>
          </w:p>
        </w:tc>
      </w:tr>
      <w:tr w14:paraId="06B69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61" w:type="dxa"/>
            <w:vMerge w:val="continue"/>
            <w:tcBorders>
              <w:top w:val="nil"/>
            </w:tcBorders>
          </w:tcPr>
          <w:p w14:paraId="70994587">
            <w:pPr>
              <w:rPr>
                <w:sz w:val="2"/>
                <w:szCs w:val="2"/>
              </w:rPr>
            </w:pPr>
          </w:p>
        </w:tc>
        <w:tc>
          <w:tcPr>
            <w:tcW w:w="2649" w:type="dxa"/>
            <w:vMerge w:val="continue"/>
            <w:tcBorders>
              <w:top w:val="nil"/>
            </w:tcBorders>
          </w:tcPr>
          <w:p w14:paraId="5E773701">
            <w:pPr>
              <w:rPr>
                <w:sz w:val="2"/>
                <w:szCs w:val="2"/>
              </w:rPr>
            </w:pPr>
          </w:p>
        </w:tc>
        <w:tc>
          <w:tcPr>
            <w:tcW w:w="4417" w:type="dxa"/>
          </w:tcPr>
          <w:p w14:paraId="2E224627">
            <w:pPr>
              <w:pStyle w:val="9"/>
              <w:ind w:left="108"/>
              <w:rPr>
                <w:sz w:val="25"/>
              </w:rPr>
            </w:pPr>
            <w:r>
              <w:rPr>
                <w:sz w:val="25"/>
                <w:szCs w:val="25"/>
              </w:rPr>
              <w:t>5)</w:t>
            </w:r>
            <w:r>
              <w:rPr>
                <w:rFonts w:hint="eastAsia" w:ascii="宋体" w:hAnsi="宋体" w:eastAsia="宋体" w:cs="宋体"/>
                <w:sz w:val="25"/>
                <w:szCs w:val="25"/>
              </w:rPr>
              <w:t>最大灰分含量（包括</w:t>
            </w:r>
            <w:r>
              <w:rPr>
                <w:sz w:val="25"/>
                <w:szCs w:val="25"/>
              </w:rPr>
              <w:t>P</w:t>
            </w:r>
            <w:r>
              <w:rPr>
                <w:color w:val="474747"/>
                <w:sz w:val="25"/>
                <w:szCs w:val="25"/>
                <w:vertAlign w:val="subscript"/>
              </w:rPr>
              <w:t>2</w:t>
            </w:r>
            <w:r>
              <w:rPr>
                <w:sz w:val="25"/>
                <w:szCs w:val="25"/>
              </w:rPr>
              <w:t>O</w:t>
            </w:r>
            <w:r>
              <w:rPr>
                <w:color w:val="474747"/>
                <w:sz w:val="25"/>
                <w:szCs w:val="25"/>
                <w:vertAlign w:val="subscript"/>
              </w:rPr>
              <w:t>5</w:t>
            </w:r>
            <w:r>
              <w:rPr>
                <w:rFonts w:hint="eastAsia" w:ascii="宋体" w:hAnsi="宋体" w:eastAsia="宋体" w:cs="宋体"/>
                <w:sz w:val="25"/>
                <w:szCs w:val="25"/>
              </w:rPr>
              <w:t>）</w:t>
            </w:r>
          </w:p>
        </w:tc>
        <w:tc>
          <w:tcPr>
            <w:tcW w:w="2572" w:type="dxa"/>
            <w:gridSpan w:val="2"/>
          </w:tcPr>
          <w:p w14:paraId="2272DD5F">
            <w:pPr>
              <w:pStyle w:val="9"/>
              <w:ind w:left="466"/>
              <w:rPr>
                <w:sz w:val="25"/>
              </w:rPr>
            </w:pPr>
            <w:r>
              <w:rPr>
                <w:sz w:val="25"/>
                <w:szCs w:val="25"/>
              </w:rPr>
              <w:t>2.5</w:t>
            </w:r>
            <w:r>
              <w:rPr>
                <w:rFonts w:hint="eastAsia" w:ascii="宋体" w:hAnsi="宋体" w:eastAsia="宋体" w:cs="宋体"/>
                <w:sz w:val="25"/>
                <w:szCs w:val="25"/>
              </w:rPr>
              <w:t>重量</w:t>
            </w:r>
            <w:r>
              <w:rPr>
                <w:sz w:val="25"/>
                <w:szCs w:val="25"/>
              </w:rPr>
              <w:t>%</w:t>
            </w:r>
          </w:p>
        </w:tc>
        <w:tc>
          <w:tcPr>
            <w:tcW w:w="1791" w:type="dxa"/>
            <w:gridSpan w:val="2"/>
          </w:tcPr>
          <w:p w14:paraId="627ABC31">
            <w:pPr>
              <w:pStyle w:val="9"/>
              <w:spacing w:line="280" w:lineRule="atLeast"/>
              <w:ind w:left="549" w:hanging="108"/>
              <w:rPr>
                <w:sz w:val="25"/>
              </w:rPr>
            </w:pPr>
            <w:r>
              <w:rPr>
                <w:sz w:val="25"/>
                <w:szCs w:val="25"/>
              </w:rPr>
              <w:t>7.5</w:t>
            </w:r>
            <w:r>
              <w:rPr>
                <w:rFonts w:hint="eastAsia" w:ascii="宋体" w:hAnsi="宋体" w:eastAsia="宋体" w:cs="宋体"/>
                <w:sz w:val="25"/>
                <w:szCs w:val="25"/>
              </w:rPr>
              <w:t>重量</w:t>
            </w:r>
            <w:r>
              <w:rPr>
                <w:sz w:val="25"/>
                <w:szCs w:val="25"/>
              </w:rPr>
              <w:t>%</w:t>
            </w:r>
          </w:p>
        </w:tc>
        <w:tc>
          <w:tcPr>
            <w:tcW w:w="3041" w:type="dxa"/>
          </w:tcPr>
          <w:p w14:paraId="24018A07">
            <w:pPr>
              <w:pStyle w:val="9"/>
              <w:rPr>
                <w:sz w:val="24"/>
              </w:rPr>
            </w:pPr>
          </w:p>
        </w:tc>
      </w:tr>
      <w:tr w14:paraId="18D5E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1" w:type="dxa"/>
            <w:vMerge w:val="continue"/>
            <w:tcBorders>
              <w:top w:val="nil"/>
            </w:tcBorders>
          </w:tcPr>
          <w:p w14:paraId="503B837F">
            <w:pPr>
              <w:rPr>
                <w:sz w:val="2"/>
                <w:szCs w:val="2"/>
              </w:rPr>
            </w:pPr>
          </w:p>
        </w:tc>
        <w:tc>
          <w:tcPr>
            <w:tcW w:w="2649" w:type="dxa"/>
            <w:vMerge w:val="continue"/>
            <w:tcBorders>
              <w:top w:val="nil"/>
            </w:tcBorders>
          </w:tcPr>
          <w:p w14:paraId="31AE4B4F">
            <w:pPr>
              <w:rPr>
                <w:sz w:val="2"/>
                <w:szCs w:val="2"/>
              </w:rPr>
            </w:pPr>
          </w:p>
        </w:tc>
        <w:tc>
          <w:tcPr>
            <w:tcW w:w="4417" w:type="dxa"/>
          </w:tcPr>
          <w:p w14:paraId="2C1A8ADA">
            <w:pPr>
              <w:pStyle w:val="9"/>
              <w:spacing w:line="267" w:lineRule="exact"/>
              <w:ind w:left="108"/>
              <w:rPr>
                <w:sz w:val="25"/>
              </w:rPr>
            </w:pPr>
            <w:r>
              <w:rPr>
                <w:sz w:val="25"/>
                <w:szCs w:val="25"/>
              </w:rPr>
              <w:t>6)</w:t>
            </w:r>
            <w:r>
              <w:rPr>
                <w:rFonts w:hint="eastAsia" w:ascii="宋体" w:hAnsi="宋体" w:eastAsia="宋体" w:cs="宋体"/>
                <w:sz w:val="25"/>
                <w:szCs w:val="25"/>
              </w:rPr>
              <w:t>最大无水乳糖含量</w:t>
            </w:r>
          </w:p>
        </w:tc>
        <w:tc>
          <w:tcPr>
            <w:tcW w:w="7404" w:type="dxa"/>
            <w:gridSpan w:val="5"/>
          </w:tcPr>
          <w:p w14:paraId="335AC5B6">
            <w:pPr>
              <w:pStyle w:val="9"/>
              <w:spacing w:line="267" w:lineRule="exact"/>
              <w:jc w:val="center"/>
              <w:rPr>
                <w:sz w:val="25"/>
              </w:rPr>
            </w:pPr>
            <w:r>
              <w:rPr>
                <w:sz w:val="25"/>
                <w:szCs w:val="25"/>
              </w:rPr>
              <w:t>1</w:t>
            </w:r>
            <w:r>
              <w:rPr>
                <w:rFonts w:hint="eastAsia" w:ascii="宋体" w:hAnsi="宋体" w:eastAsia="宋体" w:cs="宋体"/>
                <w:sz w:val="25"/>
                <w:szCs w:val="25"/>
              </w:rPr>
              <w:t>重量</w:t>
            </w:r>
            <w:r>
              <w:rPr>
                <w:sz w:val="25"/>
                <w:szCs w:val="25"/>
              </w:rPr>
              <w:t>%</w:t>
            </w:r>
          </w:p>
        </w:tc>
      </w:tr>
      <w:tr w14:paraId="6838F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1" w:type="dxa"/>
            <w:vMerge w:val="continue"/>
            <w:tcBorders>
              <w:top w:val="nil"/>
            </w:tcBorders>
          </w:tcPr>
          <w:p w14:paraId="241F11D9">
            <w:pPr>
              <w:rPr>
                <w:sz w:val="2"/>
                <w:szCs w:val="2"/>
              </w:rPr>
            </w:pPr>
          </w:p>
        </w:tc>
        <w:tc>
          <w:tcPr>
            <w:tcW w:w="2649" w:type="dxa"/>
            <w:vMerge w:val="continue"/>
            <w:tcBorders>
              <w:top w:val="nil"/>
            </w:tcBorders>
          </w:tcPr>
          <w:p w14:paraId="6E0D35CF">
            <w:pPr>
              <w:rPr>
                <w:sz w:val="2"/>
                <w:szCs w:val="2"/>
              </w:rPr>
            </w:pPr>
          </w:p>
        </w:tc>
        <w:tc>
          <w:tcPr>
            <w:tcW w:w="4417" w:type="dxa"/>
          </w:tcPr>
          <w:p w14:paraId="0A8220AA">
            <w:pPr>
              <w:pStyle w:val="9"/>
              <w:spacing w:line="267" w:lineRule="exact"/>
              <w:ind w:left="108"/>
              <w:rPr>
                <w:sz w:val="25"/>
              </w:rPr>
            </w:pPr>
            <w:r>
              <w:rPr>
                <w:sz w:val="25"/>
                <w:szCs w:val="25"/>
              </w:rPr>
              <w:t>7)pH</w:t>
            </w:r>
            <w:r>
              <w:rPr>
                <w:rFonts w:hint="eastAsia" w:ascii="宋体" w:hAnsi="宋体" w:eastAsia="宋体" w:cs="宋体"/>
                <w:sz w:val="25"/>
                <w:szCs w:val="25"/>
              </w:rPr>
              <w:t>值</w:t>
            </w:r>
          </w:p>
        </w:tc>
        <w:tc>
          <w:tcPr>
            <w:tcW w:w="2572" w:type="dxa"/>
            <w:gridSpan w:val="2"/>
          </w:tcPr>
          <w:p w14:paraId="400A4180">
            <w:pPr>
              <w:pStyle w:val="9"/>
              <w:rPr>
                <w:sz w:val="20"/>
              </w:rPr>
            </w:pPr>
          </w:p>
        </w:tc>
        <w:tc>
          <w:tcPr>
            <w:tcW w:w="1791" w:type="dxa"/>
            <w:gridSpan w:val="2"/>
          </w:tcPr>
          <w:p w14:paraId="58484F96">
            <w:pPr>
              <w:pStyle w:val="9"/>
              <w:rPr>
                <w:sz w:val="20"/>
              </w:rPr>
            </w:pPr>
          </w:p>
        </w:tc>
        <w:tc>
          <w:tcPr>
            <w:tcW w:w="3041" w:type="dxa"/>
          </w:tcPr>
          <w:p w14:paraId="5EC3892C">
            <w:pPr>
              <w:pStyle w:val="9"/>
              <w:spacing w:line="267" w:lineRule="exact"/>
              <w:jc w:val="center"/>
              <w:rPr>
                <w:sz w:val="25"/>
              </w:rPr>
            </w:pPr>
            <w:r>
              <w:rPr>
                <w:rFonts w:hint="eastAsia" w:ascii="宋体" w:hAnsi="宋体" w:eastAsia="宋体" w:cs="宋体"/>
                <w:sz w:val="25"/>
                <w:szCs w:val="25"/>
              </w:rPr>
              <w:t>从</w:t>
            </w:r>
            <w:r>
              <w:rPr>
                <w:sz w:val="25"/>
                <w:szCs w:val="25"/>
              </w:rPr>
              <w:t>6.0</w:t>
            </w:r>
            <w:r>
              <w:rPr>
                <w:rFonts w:hint="eastAsia" w:ascii="宋体" w:hAnsi="宋体" w:eastAsia="宋体" w:cs="宋体"/>
                <w:sz w:val="25"/>
                <w:szCs w:val="25"/>
              </w:rPr>
              <w:t>到</w:t>
            </w:r>
            <w:r>
              <w:rPr>
                <w:sz w:val="25"/>
                <w:szCs w:val="25"/>
              </w:rPr>
              <w:t>8.0</w:t>
            </w:r>
          </w:p>
        </w:tc>
      </w:tr>
      <w:tr w14:paraId="51925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61" w:type="dxa"/>
            <w:vMerge w:val="continue"/>
            <w:tcBorders>
              <w:top w:val="nil"/>
            </w:tcBorders>
          </w:tcPr>
          <w:p w14:paraId="74ABE233">
            <w:pPr>
              <w:rPr>
                <w:sz w:val="2"/>
                <w:szCs w:val="2"/>
              </w:rPr>
            </w:pPr>
          </w:p>
        </w:tc>
        <w:tc>
          <w:tcPr>
            <w:tcW w:w="2649" w:type="dxa"/>
            <w:vMerge w:val="continue"/>
            <w:tcBorders>
              <w:top w:val="nil"/>
            </w:tcBorders>
          </w:tcPr>
          <w:p w14:paraId="31D683DC">
            <w:pPr>
              <w:rPr>
                <w:sz w:val="2"/>
                <w:szCs w:val="2"/>
              </w:rPr>
            </w:pPr>
          </w:p>
        </w:tc>
        <w:tc>
          <w:tcPr>
            <w:tcW w:w="4417" w:type="dxa"/>
          </w:tcPr>
          <w:p w14:paraId="1BDB350A">
            <w:pPr>
              <w:pStyle w:val="9"/>
              <w:spacing w:line="280" w:lineRule="atLeast"/>
              <w:ind w:left="108"/>
              <w:rPr>
                <w:sz w:val="25"/>
                <w:lang w:eastAsia="zh-CN"/>
              </w:rPr>
            </w:pPr>
            <w:r>
              <w:rPr>
                <w:sz w:val="25"/>
                <w:szCs w:val="25"/>
                <w:lang w:eastAsia="zh-CN"/>
              </w:rPr>
              <w:t>8</w:t>
            </w:r>
            <w:r>
              <w:rPr>
                <w:rFonts w:hint="eastAsia" w:ascii="宋体" w:hAnsi="宋体" w:eastAsia="宋体" w:cs="宋体"/>
                <w:sz w:val="25"/>
                <w:szCs w:val="25"/>
                <w:lang w:eastAsia="zh-CN"/>
              </w:rPr>
              <w:t>）最大沉积物含量（燃烧颗粒）</w:t>
            </w:r>
          </w:p>
        </w:tc>
        <w:tc>
          <w:tcPr>
            <w:tcW w:w="2572" w:type="dxa"/>
            <w:gridSpan w:val="2"/>
          </w:tcPr>
          <w:p w14:paraId="55908AA9">
            <w:pPr>
              <w:pStyle w:val="9"/>
              <w:ind w:left="497"/>
              <w:rPr>
                <w:sz w:val="25"/>
              </w:rPr>
            </w:pPr>
            <w:r>
              <w:rPr>
                <w:sz w:val="25"/>
                <w:szCs w:val="25"/>
              </w:rPr>
              <w:t>22.5 mg</w:t>
            </w:r>
            <w:r>
              <w:rPr>
                <w:rFonts w:hint="eastAsia" w:ascii="宋体" w:hAnsi="宋体" w:eastAsia="宋体" w:cs="宋体"/>
                <w:sz w:val="25"/>
                <w:szCs w:val="25"/>
              </w:rPr>
              <w:t>于</w:t>
            </w:r>
            <w:r>
              <w:rPr>
                <w:sz w:val="25"/>
                <w:szCs w:val="25"/>
              </w:rPr>
              <w:t>25g</w:t>
            </w:r>
            <w:r>
              <w:rPr>
                <w:rFonts w:hint="eastAsia" w:ascii="宋体" w:hAnsi="宋体" w:eastAsia="宋体" w:cs="宋体"/>
                <w:sz w:val="25"/>
                <w:szCs w:val="25"/>
              </w:rPr>
              <w:t>中</w:t>
            </w:r>
          </w:p>
        </w:tc>
        <w:tc>
          <w:tcPr>
            <w:tcW w:w="1791" w:type="dxa"/>
            <w:gridSpan w:val="2"/>
          </w:tcPr>
          <w:p w14:paraId="688CEBEE">
            <w:pPr>
              <w:pStyle w:val="9"/>
              <w:ind w:left="195"/>
              <w:rPr>
                <w:sz w:val="25"/>
              </w:rPr>
            </w:pPr>
            <w:r>
              <w:rPr>
                <w:sz w:val="25"/>
                <w:szCs w:val="25"/>
              </w:rPr>
              <w:t>15mg</w:t>
            </w:r>
            <w:r>
              <w:rPr>
                <w:rFonts w:hint="eastAsia" w:ascii="宋体" w:hAnsi="宋体" w:eastAsia="宋体" w:cs="宋体"/>
                <w:sz w:val="25"/>
                <w:szCs w:val="25"/>
              </w:rPr>
              <w:t>于</w:t>
            </w:r>
            <w:r>
              <w:rPr>
                <w:sz w:val="25"/>
                <w:szCs w:val="25"/>
              </w:rPr>
              <w:t>25g</w:t>
            </w:r>
            <w:r>
              <w:rPr>
                <w:rFonts w:hint="eastAsia" w:ascii="宋体" w:hAnsi="宋体" w:eastAsia="宋体" w:cs="宋体"/>
                <w:sz w:val="25"/>
                <w:szCs w:val="25"/>
              </w:rPr>
              <w:t>中</w:t>
            </w:r>
          </w:p>
        </w:tc>
        <w:tc>
          <w:tcPr>
            <w:tcW w:w="3041" w:type="dxa"/>
          </w:tcPr>
          <w:p w14:paraId="4FD5D722">
            <w:pPr>
              <w:pStyle w:val="9"/>
              <w:ind w:left="726"/>
              <w:rPr>
                <w:sz w:val="25"/>
              </w:rPr>
            </w:pPr>
            <w:r>
              <w:rPr>
                <w:sz w:val="25"/>
                <w:szCs w:val="25"/>
              </w:rPr>
              <w:t>22.5 mg</w:t>
            </w:r>
            <w:r>
              <w:rPr>
                <w:rFonts w:hint="eastAsia" w:ascii="宋体" w:hAnsi="宋体" w:eastAsia="宋体" w:cs="宋体"/>
                <w:sz w:val="25"/>
                <w:szCs w:val="25"/>
              </w:rPr>
              <w:t>于</w:t>
            </w:r>
            <w:r>
              <w:rPr>
                <w:sz w:val="25"/>
                <w:szCs w:val="25"/>
              </w:rPr>
              <w:t>25g</w:t>
            </w:r>
            <w:r>
              <w:rPr>
                <w:rFonts w:hint="eastAsia" w:ascii="宋体" w:hAnsi="宋体" w:eastAsia="宋体" w:cs="宋体"/>
                <w:sz w:val="25"/>
                <w:szCs w:val="25"/>
              </w:rPr>
              <w:t>中</w:t>
            </w:r>
          </w:p>
        </w:tc>
      </w:tr>
      <w:tr w14:paraId="2171A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61" w:type="dxa"/>
          </w:tcPr>
          <w:p w14:paraId="3969380A">
            <w:pPr>
              <w:pStyle w:val="9"/>
              <w:jc w:val="center"/>
              <w:rPr>
                <w:sz w:val="25"/>
              </w:rPr>
            </w:pPr>
            <w:r>
              <w:rPr>
                <w:spacing w:val="-5"/>
                <w:sz w:val="25"/>
              </w:rPr>
              <w:t>2.</w:t>
            </w:r>
          </w:p>
        </w:tc>
        <w:tc>
          <w:tcPr>
            <w:tcW w:w="2649" w:type="dxa"/>
          </w:tcPr>
          <w:p w14:paraId="050006BD">
            <w:pPr>
              <w:pStyle w:val="9"/>
              <w:jc w:val="center"/>
              <w:rPr>
                <w:sz w:val="25"/>
              </w:rPr>
            </w:pPr>
            <w:r>
              <w:rPr>
                <w:rFonts w:hint="eastAsia" w:ascii="宋体" w:hAnsi="宋体" w:eastAsia="宋体" w:cs="宋体"/>
                <w:sz w:val="25"/>
                <w:szCs w:val="25"/>
              </w:rPr>
              <w:t>污染物</w:t>
            </w:r>
          </w:p>
        </w:tc>
        <w:tc>
          <w:tcPr>
            <w:tcW w:w="4417" w:type="dxa"/>
          </w:tcPr>
          <w:p w14:paraId="11FEF0D5">
            <w:pPr>
              <w:pStyle w:val="9"/>
              <w:ind w:left="108"/>
              <w:rPr>
                <w:sz w:val="25"/>
              </w:rPr>
            </w:pPr>
            <w:r>
              <w:rPr>
                <w:rFonts w:hint="eastAsia" w:ascii="宋体" w:hAnsi="宋体" w:eastAsia="宋体" w:cs="宋体"/>
                <w:sz w:val="25"/>
                <w:szCs w:val="25"/>
              </w:rPr>
              <w:t>最大铅含量</w:t>
            </w:r>
          </w:p>
        </w:tc>
        <w:tc>
          <w:tcPr>
            <w:tcW w:w="7404" w:type="dxa"/>
            <w:gridSpan w:val="5"/>
          </w:tcPr>
          <w:p w14:paraId="35AD76D2">
            <w:pPr>
              <w:pStyle w:val="9"/>
              <w:ind w:left="3132"/>
              <w:rPr>
                <w:sz w:val="25"/>
              </w:rPr>
            </w:pPr>
            <w:r>
              <w:rPr>
                <w:sz w:val="25"/>
              </w:rPr>
              <w:t xml:space="preserve">0.75 </w:t>
            </w:r>
            <w:r>
              <w:rPr>
                <w:spacing w:val="-2"/>
                <w:sz w:val="25"/>
              </w:rPr>
              <w:t>mg/kg</w:t>
            </w:r>
          </w:p>
        </w:tc>
      </w:tr>
      <w:tr w14:paraId="7697F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661" w:type="dxa"/>
          </w:tcPr>
          <w:p w14:paraId="5F4095C5">
            <w:pPr>
              <w:pStyle w:val="9"/>
              <w:rPr>
                <w:b/>
                <w:sz w:val="25"/>
              </w:rPr>
            </w:pPr>
          </w:p>
          <w:p w14:paraId="757B2A2D">
            <w:pPr>
              <w:pStyle w:val="9"/>
              <w:jc w:val="center"/>
              <w:rPr>
                <w:sz w:val="25"/>
              </w:rPr>
            </w:pPr>
            <w:r>
              <w:rPr>
                <w:spacing w:val="-5"/>
                <w:sz w:val="25"/>
              </w:rPr>
              <w:t>3.</w:t>
            </w:r>
          </w:p>
        </w:tc>
        <w:tc>
          <w:tcPr>
            <w:tcW w:w="2649" w:type="dxa"/>
          </w:tcPr>
          <w:p w14:paraId="76D3BD42">
            <w:pPr>
              <w:pStyle w:val="9"/>
              <w:rPr>
                <w:b/>
                <w:sz w:val="25"/>
              </w:rPr>
            </w:pPr>
          </w:p>
          <w:p w14:paraId="430D1324">
            <w:pPr>
              <w:pStyle w:val="9"/>
              <w:jc w:val="center"/>
              <w:rPr>
                <w:sz w:val="25"/>
              </w:rPr>
            </w:pPr>
            <w:r>
              <w:rPr>
                <w:rFonts w:hint="eastAsia" w:ascii="宋体" w:hAnsi="宋体" w:eastAsia="宋体" w:cs="宋体"/>
                <w:sz w:val="25"/>
                <w:szCs w:val="25"/>
              </w:rPr>
              <w:t>杂质</w:t>
            </w:r>
          </w:p>
        </w:tc>
        <w:tc>
          <w:tcPr>
            <w:tcW w:w="4417" w:type="dxa"/>
          </w:tcPr>
          <w:p w14:paraId="7A738DDD">
            <w:pPr>
              <w:pStyle w:val="9"/>
              <w:ind w:left="108"/>
              <w:rPr>
                <w:sz w:val="25"/>
                <w:lang w:eastAsia="zh-CN"/>
              </w:rPr>
            </w:pPr>
            <w:r>
              <w:rPr>
                <w:rFonts w:hint="eastAsia" w:ascii="宋体" w:hAnsi="宋体" w:eastAsia="宋体" w:cs="宋体"/>
                <w:sz w:val="25"/>
                <w:szCs w:val="25"/>
                <w:lang w:eastAsia="zh-CN"/>
              </w:rPr>
              <w:t>外来物质（如木材或金属颗粒、毛发或昆虫碎片）</w:t>
            </w:r>
          </w:p>
        </w:tc>
        <w:tc>
          <w:tcPr>
            <w:tcW w:w="7404" w:type="dxa"/>
            <w:gridSpan w:val="5"/>
          </w:tcPr>
          <w:p w14:paraId="5ED9AFF8">
            <w:pPr>
              <w:pStyle w:val="9"/>
              <w:rPr>
                <w:b/>
                <w:sz w:val="25"/>
                <w:lang w:eastAsia="zh-CN"/>
              </w:rPr>
            </w:pPr>
          </w:p>
          <w:p w14:paraId="1E73036E">
            <w:pPr>
              <w:pStyle w:val="9"/>
              <w:jc w:val="center"/>
              <w:rPr>
                <w:sz w:val="25"/>
              </w:rPr>
            </w:pPr>
            <w:r>
              <w:rPr>
                <w:rFonts w:hint="eastAsia" w:ascii="宋体" w:hAnsi="宋体" w:eastAsia="宋体" w:cs="宋体"/>
                <w:sz w:val="25"/>
                <w:szCs w:val="25"/>
              </w:rPr>
              <w:t>无</w:t>
            </w:r>
          </w:p>
        </w:tc>
      </w:tr>
      <w:tr w14:paraId="55BE9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1" w:type="dxa"/>
          </w:tcPr>
          <w:p w14:paraId="3A944B4F">
            <w:pPr>
              <w:pStyle w:val="9"/>
              <w:rPr>
                <w:sz w:val="20"/>
              </w:rPr>
            </w:pPr>
          </w:p>
        </w:tc>
        <w:tc>
          <w:tcPr>
            <w:tcW w:w="2649" w:type="dxa"/>
          </w:tcPr>
          <w:p w14:paraId="16D5936F">
            <w:pPr>
              <w:pStyle w:val="9"/>
              <w:rPr>
                <w:sz w:val="20"/>
              </w:rPr>
            </w:pPr>
          </w:p>
        </w:tc>
        <w:tc>
          <w:tcPr>
            <w:tcW w:w="4417" w:type="dxa"/>
          </w:tcPr>
          <w:p w14:paraId="2A2B1770">
            <w:pPr>
              <w:pStyle w:val="9"/>
              <w:spacing w:line="267" w:lineRule="exact"/>
              <w:ind w:left="108"/>
              <w:rPr>
                <w:sz w:val="25"/>
              </w:rPr>
            </w:pPr>
            <w:r>
              <w:rPr>
                <w:rFonts w:hint="eastAsia" w:ascii="宋体" w:hAnsi="宋体" w:eastAsia="宋体" w:cs="宋体"/>
                <w:sz w:val="25"/>
                <w:szCs w:val="25"/>
              </w:rPr>
              <w:t>加工助剂</w:t>
            </w:r>
          </w:p>
        </w:tc>
        <w:tc>
          <w:tcPr>
            <w:tcW w:w="800" w:type="dxa"/>
          </w:tcPr>
          <w:p w14:paraId="102CAF69">
            <w:pPr>
              <w:pStyle w:val="9"/>
              <w:spacing w:line="267" w:lineRule="exact"/>
              <w:ind w:left="108"/>
              <w:rPr>
                <w:sz w:val="25"/>
              </w:rPr>
            </w:pPr>
            <w:r>
              <w:rPr>
                <w:rFonts w:hint="eastAsia" w:ascii="宋体" w:hAnsi="宋体" w:eastAsia="宋体" w:cs="宋体"/>
                <w:sz w:val="25"/>
              </w:rPr>
              <w:t>酸：</w:t>
            </w:r>
          </w:p>
        </w:tc>
        <w:tc>
          <w:tcPr>
            <w:tcW w:w="1913" w:type="dxa"/>
            <w:gridSpan w:val="2"/>
          </w:tcPr>
          <w:p w14:paraId="6153EEB0">
            <w:pPr>
              <w:pStyle w:val="9"/>
              <w:spacing w:line="267" w:lineRule="exact"/>
              <w:ind w:left="108"/>
              <w:rPr>
                <w:sz w:val="25"/>
              </w:rPr>
            </w:pPr>
            <w:r>
              <w:rPr>
                <w:rFonts w:hint="eastAsia" w:ascii="宋体" w:hAnsi="宋体" w:eastAsia="宋体" w:cs="宋体"/>
                <w:sz w:val="25"/>
                <w:szCs w:val="25"/>
              </w:rPr>
              <w:t>乳酸</w:t>
            </w:r>
          </w:p>
        </w:tc>
        <w:tc>
          <w:tcPr>
            <w:tcW w:w="1650" w:type="dxa"/>
          </w:tcPr>
          <w:p w14:paraId="0F2243CF">
            <w:pPr>
              <w:pStyle w:val="9"/>
              <w:rPr>
                <w:sz w:val="20"/>
              </w:rPr>
            </w:pPr>
          </w:p>
        </w:tc>
        <w:tc>
          <w:tcPr>
            <w:tcW w:w="3041" w:type="dxa"/>
          </w:tcPr>
          <w:p w14:paraId="60163CDC">
            <w:pPr>
              <w:pStyle w:val="9"/>
              <w:rPr>
                <w:sz w:val="20"/>
              </w:rPr>
            </w:pPr>
          </w:p>
        </w:tc>
      </w:tr>
    </w:tbl>
    <w:p w14:paraId="4C29C202">
      <w:pPr>
        <w:rPr>
          <w:sz w:val="20"/>
        </w:rPr>
        <w:sectPr>
          <w:pgSz w:w="16840" w:h="11910" w:orient="landscape"/>
          <w:pgMar w:top="1100" w:right="740" w:bottom="280" w:left="740" w:header="720" w:footer="720" w:gutter="0"/>
          <w:cols w:space="720" w:num="1"/>
        </w:sectPr>
      </w:pPr>
    </w:p>
    <w:p w14:paraId="6E1F37D0">
      <w:pPr>
        <w:pStyle w:val="2"/>
        <w:spacing w:before="1"/>
        <w:ind w:left="0" w:firstLine="0"/>
        <w:rPr>
          <w:b/>
          <w:sz w:val="27"/>
        </w:rPr>
      </w:pPr>
    </w:p>
    <w:tbl>
      <w:tblPr>
        <w:tblStyle w:val="7"/>
        <w:tblW w:w="0" w:type="auto"/>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1"/>
        <w:gridCol w:w="2649"/>
        <w:gridCol w:w="4417"/>
        <w:gridCol w:w="800"/>
        <w:gridCol w:w="1913"/>
        <w:gridCol w:w="1639"/>
        <w:gridCol w:w="1590"/>
        <w:gridCol w:w="1461"/>
      </w:tblGrid>
      <w:tr w14:paraId="04CDB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4" w:hRule="atLeast"/>
        </w:trPr>
        <w:tc>
          <w:tcPr>
            <w:tcW w:w="661" w:type="dxa"/>
            <w:vMerge w:val="restart"/>
          </w:tcPr>
          <w:p w14:paraId="29068371">
            <w:pPr>
              <w:pStyle w:val="9"/>
              <w:rPr>
                <w:b/>
                <w:sz w:val="28"/>
              </w:rPr>
            </w:pPr>
          </w:p>
          <w:p w14:paraId="00D3A07A">
            <w:pPr>
              <w:pStyle w:val="9"/>
              <w:rPr>
                <w:b/>
                <w:sz w:val="28"/>
              </w:rPr>
            </w:pPr>
          </w:p>
          <w:p w14:paraId="0D6AAF6B">
            <w:pPr>
              <w:pStyle w:val="9"/>
              <w:rPr>
                <w:b/>
                <w:sz w:val="28"/>
              </w:rPr>
            </w:pPr>
          </w:p>
          <w:p w14:paraId="4AAB646F">
            <w:pPr>
              <w:pStyle w:val="9"/>
              <w:rPr>
                <w:b/>
                <w:sz w:val="28"/>
              </w:rPr>
            </w:pPr>
          </w:p>
          <w:p w14:paraId="06DC262F">
            <w:pPr>
              <w:pStyle w:val="9"/>
              <w:rPr>
                <w:b/>
                <w:sz w:val="28"/>
              </w:rPr>
            </w:pPr>
          </w:p>
          <w:p w14:paraId="4F9361A1">
            <w:pPr>
              <w:pStyle w:val="9"/>
              <w:rPr>
                <w:b/>
                <w:sz w:val="35"/>
              </w:rPr>
            </w:pPr>
          </w:p>
          <w:p w14:paraId="11FE594E">
            <w:pPr>
              <w:pStyle w:val="9"/>
              <w:jc w:val="center"/>
              <w:rPr>
                <w:sz w:val="25"/>
              </w:rPr>
            </w:pPr>
            <w:r>
              <w:rPr>
                <w:spacing w:val="-5"/>
                <w:sz w:val="25"/>
              </w:rPr>
              <w:t>4.</w:t>
            </w:r>
          </w:p>
        </w:tc>
        <w:tc>
          <w:tcPr>
            <w:tcW w:w="2649" w:type="dxa"/>
            <w:vMerge w:val="restart"/>
          </w:tcPr>
          <w:p w14:paraId="4F54D741">
            <w:pPr>
              <w:pStyle w:val="9"/>
              <w:rPr>
                <w:b/>
                <w:sz w:val="28"/>
                <w:lang w:eastAsia="zh-CN"/>
              </w:rPr>
            </w:pPr>
          </w:p>
          <w:p w14:paraId="09E0BBEA">
            <w:pPr>
              <w:pStyle w:val="9"/>
              <w:rPr>
                <w:b/>
                <w:sz w:val="28"/>
                <w:lang w:eastAsia="zh-CN"/>
              </w:rPr>
            </w:pPr>
          </w:p>
          <w:p w14:paraId="683F7117">
            <w:pPr>
              <w:pStyle w:val="9"/>
              <w:rPr>
                <w:b/>
                <w:sz w:val="28"/>
                <w:lang w:eastAsia="zh-CN"/>
              </w:rPr>
            </w:pPr>
          </w:p>
          <w:p w14:paraId="36D0051B">
            <w:pPr>
              <w:pStyle w:val="9"/>
              <w:rPr>
                <w:b/>
                <w:sz w:val="28"/>
                <w:lang w:eastAsia="zh-CN"/>
              </w:rPr>
            </w:pPr>
          </w:p>
          <w:p w14:paraId="4CDE0DCB">
            <w:pPr>
              <w:pStyle w:val="9"/>
              <w:rPr>
                <w:b/>
                <w:sz w:val="28"/>
                <w:lang w:eastAsia="zh-CN"/>
              </w:rPr>
            </w:pPr>
          </w:p>
          <w:p w14:paraId="087FC6EE">
            <w:pPr>
              <w:pStyle w:val="9"/>
              <w:rPr>
                <w:b/>
                <w:sz w:val="35"/>
                <w:lang w:eastAsia="zh-CN"/>
              </w:rPr>
            </w:pPr>
          </w:p>
          <w:p w14:paraId="223AEB67">
            <w:pPr>
              <w:pStyle w:val="9"/>
              <w:jc w:val="center"/>
              <w:rPr>
                <w:sz w:val="25"/>
                <w:lang w:eastAsia="zh-CN"/>
              </w:rPr>
            </w:pPr>
            <w:r>
              <w:rPr>
                <w:rFonts w:hint="eastAsia" w:ascii="宋体" w:hAnsi="宋体" w:eastAsia="宋体" w:cs="宋体"/>
                <w:sz w:val="25"/>
                <w:szCs w:val="25"/>
                <w:lang w:eastAsia="zh-CN"/>
              </w:rPr>
              <w:t>加工助剂、细菌培养物和授权成分</w:t>
            </w:r>
          </w:p>
        </w:tc>
        <w:tc>
          <w:tcPr>
            <w:tcW w:w="4417" w:type="dxa"/>
          </w:tcPr>
          <w:p w14:paraId="2436FA1A">
            <w:pPr>
              <w:pStyle w:val="9"/>
              <w:rPr>
                <w:sz w:val="24"/>
                <w:lang w:eastAsia="zh-CN"/>
              </w:rPr>
            </w:pPr>
          </w:p>
        </w:tc>
        <w:tc>
          <w:tcPr>
            <w:tcW w:w="800" w:type="dxa"/>
          </w:tcPr>
          <w:p w14:paraId="21DEA674">
            <w:pPr>
              <w:pStyle w:val="9"/>
              <w:rPr>
                <w:sz w:val="24"/>
                <w:lang w:eastAsia="zh-CN"/>
              </w:rPr>
            </w:pPr>
          </w:p>
        </w:tc>
        <w:tc>
          <w:tcPr>
            <w:tcW w:w="1913" w:type="dxa"/>
          </w:tcPr>
          <w:p w14:paraId="79DFED90">
            <w:pPr>
              <w:pStyle w:val="9"/>
              <w:spacing w:line="280" w:lineRule="atLeast"/>
              <w:ind w:left="108" w:right="82"/>
              <w:rPr>
                <w:sz w:val="25"/>
                <w:lang w:eastAsia="zh-CN"/>
              </w:rPr>
            </w:pPr>
            <w:r>
              <w:rPr>
                <w:rFonts w:hint="eastAsia" w:ascii="宋体" w:hAnsi="宋体" w:eastAsia="宋体" w:cs="宋体"/>
                <w:sz w:val="25"/>
                <w:szCs w:val="25"/>
                <w:lang w:eastAsia="zh-CN"/>
              </w:rPr>
              <w:t>盐酸、硫酸、柠檬酸、乙酸、正磷酸</w:t>
            </w:r>
          </w:p>
        </w:tc>
        <w:tc>
          <w:tcPr>
            <w:tcW w:w="1639" w:type="dxa"/>
          </w:tcPr>
          <w:p w14:paraId="6F73A796">
            <w:pPr>
              <w:pStyle w:val="9"/>
              <w:rPr>
                <w:sz w:val="24"/>
                <w:lang w:eastAsia="zh-CN"/>
              </w:rPr>
            </w:pPr>
          </w:p>
        </w:tc>
        <w:tc>
          <w:tcPr>
            <w:tcW w:w="3051" w:type="dxa"/>
            <w:gridSpan w:val="2"/>
          </w:tcPr>
          <w:p w14:paraId="0212C3A2">
            <w:pPr>
              <w:pStyle w:val="9"/>
              <w:rPr>
                <w:sz w:val="24"/>
                <w:lang w:eastAsia="zh-CN"/>
              </w:rPr>
            </w:pPr>
          </w:p>
        </w:tc>
      </w:tr>
      <w:tr w14:paraId="07A14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61" w:type="dxa"/>
            <w:vMerge w:val="continue"/>
            <w:tcBorders>
              <w:top w:val="nil"/>
            </w:tcBorders>
          </w:tcPr>
          <w:p w14:paraId="0FB80B30">
            <w:pPr>
              <w:rPr>
                <w:sz w:val="2"/>
                <w:szCs w:val="2"/>
                <w:lang w:eastAsia="zh-CN"/>
              </w:rPr>
            </w:pPr>
          </w:p>
        </w:tc>
        <w:tc>
          <w:tcPr>
            <w:tcW w:w="2649" w:type="dxa"/>
            <w:vMerge w:val="continue"/>
            <w:tcBorders>
              <w:top w:val="nil"/>
            </w:tcBorders>
          </w:tcPr>
          <w:p w14:paraId="56EF0EF3">
            <w:pPr>
              <w:rPr>
                <w:sz w:val="2"/>
                <w:szCs w:val="2"/>
                <w:lang w:eastAsia="zh-CN"/>
              </w:rPr>
            </w:pPr>
          </w:p>
        </w:tc>
        <w:tc>
          <w:tcPr>
            <w:tcW w:w="4417" w:type="dxa"/>
          </w:tcPr>
          <w:p w14:paraId="1DA73D0A">
            <w:pPr>
              <w:pStyle w:val="9"/>
              <w:ind w:left="108"/>
              <w:rPr>
                <w:sz w:val="25"/>
              </w:rPr>
            </w:pPr>
            <w:r>
              <w:rPr>
                <w:rFonts w:hint="eastAsia" w:ascii="宋体" w:hAnsi="宋体" w:eastAsia="宋体" w:cs="宋体"/>
                <w:sz w:val="25"/>
                <w:szCs w:val="25"/>
              </w:rPr>
              <w:t>细菌培养</w:t>
            </w:r>
          </w:p>
        </w:tc>
        <w:tc>
          <w:tcPr>
            <w:tcW w:w="2713" w:type="dxa"/>
            <w:gridSpan w:val="2"/>
          </w:tcPr>
          <w:p w14:paraId="4B341D2F">
            <w:pPr>
              <w:pStyle w:val="9"/>
              <w:spacing w:line="280" w:lineRule="atLeast"/>
              <w:ind w:left="308" w:firstLine="190"/>
              <w:rPr>
                <w:sz w:val="25"/>
                <w:lang w:eastAsia="zh-CN"/>
              </w:rPr>
            </w:pPr>
            <w:r>
              <w:rPr>
                <w:rFonts w:hint="eastAsia" w:ascii="宋体" w:hAnsi="宋体" w:eastAsia="宋体" w:cs="宋体"/>
                <w:sz w:val="25"/>
                <w:szCs w:val="25"/>
                <w:lang w:eastAsia="zh-CN"/>
              </w:rPr>
              <w:t>产生乳酸的细菌培养物</w:t>
            </w:r>
          </w:p>
        </w:tc>
        <w:tc>
          <w:tcPr>
            <w:tcW w:w="1639" w:type="dxa"/>
          </w:tcPr>
          <w:p w14:paraId="138B5D1B">
            <w:pPr>
              <w:pStyle w:val="9"/>
              <w:rPr>
                <w:sz w:val="24"/>
                <w:lang w:eastAsia="zh-CN"/>
              </w:rPr>
            </w:pPr>
          </w:p>
        </w:tc>
        <w:tc>
          <w:tcPr>
            <w:tcW w:w="3051" w:type="dxa"/>
            <w:gridSpan w:val="2"/>
          </w:tcPr>
          <w:p w14:paraId="73FD1F80">
            <w:pPr>
              <w:pStyle w:val="9"/>
              <w:rPr>
                <w:sz w:val="24"/>
                <w:lang w:eastAsia="zh-CN"/>
              </w:rPr>
            </w:pPr>
          </w:p>
        </w:tc>
      </w:tr>
      <w:tr w14:paraId="6FB5E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61" w:type="dxa"/>
            <w:vMerge w:val="continue"/>
            <w:tcBorders>
              <w:top w:val="nil"/>
            </w:tcBorders>
          </w:tcPr>
          <w:p w14:paraId="14D574EC">
            <w:pPr>
              <w:rPr>
                <w:sz w:val="2"/>
                <w:szCs w:val="2"/>
                <w:lang w:eastAsia="zh-CN"/>
              </w:rPr>
            </w:pPr>
          </w:p>
        </w:tc>
        <w:tc>
          <w:tcPr>
            <w:tcW w:w="2649" w:type="dxa"/>
            <w:vMerge w:val="continue"/>
            <w:tcBorders>
              <w:top w:val="nil"/>
            </w:tcBorders>
          </w:tcPr>
          <w:p w14:paraId="2044CC67">
            <w:pPr>
              <w:rPr>
                <w:sz w:val="2"/>
                <w:szCs w:val="2"/>
                <w:lang w:eastAsia="zh-CN"/>
              </w:rPr>
            </w:pPr>
          </w:p>
        </w:tc>
        <w:tc>
          <w:tcPr>
            <w:tcW w:w="4417" w:type="dxa"/>
          </w:tcPr>
          <w:p w14:paraId="1C688D6F">
            <w:pPr>
              <w:pStyle w:val="9"/>
              <w:spacing w:line="267" w:lineRule="exact"/>
              <w:ind w:left="108"/>
              <w:rPr>
                <w:sz w:val="25"/>
              </w:rPr>
            </w:pPr>
            <w:r>
              <w:rPr>
                <w:rFonts w:hint="eastAsia" w:ascii="宋体" w:hAnsi="宋体" w:eastAsia="宋体" w:cs="宋体"/>
                <w:sz w:val="25"/>
                <w:szCs w:val="25"/>
              </w:rPr>
              <w:t>授权成分</w:t>
            </w:r>
          </w:p>
        </w:tc>
        <w:tc>
          <w:tcPr>
            <w:tcW w:w="2713" w:type="dxa"/>
            <w:gridSpan w:val="2"/>
          </w:tcPr>
          <w:p w14:paraId="005536C3">
            <w:pPr>
              <w:pStyle w:val="9"/>
              <w:spacing w:line="267" w:lineRule="exact"/>
              <w:jc w:val="center"/>
              <w:rPr>
                <w:sz w:val="25"/>
              </w:rPr>
            </w:pPr>
            <w:r>
              <w:rPr>
                <w:rFonts w:hint="eastAsia" w:ascii="宋体" w:hAnsi="宋体" w:eastAsia="宋体" w:cs="宋体"/>
                <w:sz w:val="25"/>
                <w:szCs w:val="25"/>
              </w:rPr>
              <w:t>乳清</w:t>
            </w:r>
          </w:p>
        </w:tc>
        <w:tc>
          <w:tcPr>
            <w:tcW w:w="1639" w:type="dxa"/>
          </w:tcPr>
          <w:p w14:paraId="5629E3C7">
            <w:pPr>
              <w:pStyle w:val="9"/>
              <w:rPr>
                <w:sz w:val="20"/>
              </w:rPr>
            </w:pPr>
          </w:p>
        </w:tc>
        <w:tc>
          <w:tcPr>
            <w:tcW w:w="3051" w:type="dxa"/>
            <w:gridSpan w:val="2"/>
          </w:tcPr>
          <w:p w14:paraId="1C52114C">
            <w:pPr>
              <w:pStyle w:val="9"/>
              <w:rPr>
                <w:sz w:val="20"/>
              </w:rPr>
            </w:pPr>
          </w:p>
        </w:tc>
      </w:tr>
      <w:tr w14:paraId="0C32C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661" w:type="dxa"/>
            <w:vMerge w:val="continue"/>
            <w:tcBorders>
              <w:top w:val="nil"/>
            </w:tcBorders>
          </w:tcPr>
          <w:p w14:paraId="4F046992">
            <w:pPr>
              <w:rPr>
                <w:sz w:val="2"/>
                <w:szCs w:val="2"/>
              </w:rPr>
            </w:pPr>
          </w:p>
        </w:tc>
        <w:tc>
          <w:tcPr>
            <w:tcW w:w="2649" w:type="dxa"/>
            <w:vMerge w:val="continue"/>
            <w:tcBorders>
              <w:top w:val="nil"/>
            </w:tcBorders>
          </w:tcPr>
          <w:p w14:paraId="0D900AFF">
            <w:pPr>
              <w:rPr>
                <w:sz w:val="2"/>
                <w:szCs w:val="2"/>
              </w:rPr>
            </w:pPr>
          </w:p>
        </w:tc>
        <w:tc>
          <w:tcPr>
            <w:tcW w:w="4417" w:type="dxa"/>
            <w:vMerge w:val="restart"/>
          </w:tcPr>
          <w:p w14:paraId="43B80B05">
            <w:pPr>
              <w:pStyle w:val="9"/>
              <w:ind w:left="108" w:right="75"/>
              <w:rPr>
                <w:sz w:val="25"/>
                <w:lang w:eastAsia="zh-CN"/>
              </w:rPr>
            </w:pPr>
            <w:r>
              <w:rPr>
                <w:rFonts w:hint="eastAsia" w:ascii="宋体" w:hAnsi="宋体" w:eastAsia="宋体" w:cs="宋体"/>
                <w:sz w:val="25"/>
                <w:szCs w:val="25"/>
                <w:lang w:eastAsia="zh-CN"/>
              </w:rPr>
              <w:t>符合</w:t>
            </w:r>
            <w:r>
              <w:rPr>
                <w:sz w:val="25"/>
                <w:szCs w:val="25"/>
                <w:lang w:eastAsia="zh-CN"/>
              </w:rPr>
              <w:t>2024</w:t>
            </w:r>
            <w:r>
              <w:rPr>
                <w:rFonts w:hint="eastAsia" w:ascii="宋体" w:hAnsi="宋体" w:eastAsia="宋体" w:cs="宋体"/>
                <w:sz w:val="25"/>
                <w:szCs w:val="25"/>
                <w:lang w:eastAsia="zh-CN"/>
              </w:rPr>
              <w:t>年</w:t>
            </w:r>
            <w:r>
              <w:rPr>
                <w:sz w:val="25"/>
                <w:szCs w:val="25"/>
                <w:lang w:eastAsia="zh-CN"/>
              </w:rPr>
              <w:t>1</w:t>
            </w:r>
            <w:r>
              <w:rPr>
                <w:rFonts w:hint="eastAsia" w:ascii="宋体" w:hAnsi="宋体" w:eastAsia="宋体" w:cs="宋体"/>
                <w:sz w:val="25"/>
                <w:szCs w:val="25"/>
                <w:lang w:eastAsia="zh-CN"/>
              </w:rPr>
              <w:t>月</w:t>
            </w:r>
            <w:r>
              <w:rPr>
                <w:sz w:val="25"/>
                <w:szCs w:val="25"/>
                <w:lang w:eastAsia="zh-CN"/>
              </w:rPr>
              <w:t>8</w:t>
            </w:r>
            <w:r>
              <w:rPr>
                <w:rFonts w:hint="eastAsia" w:ascii="宋体" w:hAnsi="宋体" w:eastAsia="宋体" w:cs="宋体"/>
                <w:sz w:val="25"/>
                <w:szCs w:val="25"/>
                <w:lang w:eastAsia="zh-CN"/>
              </w:rPr>
              <w:t>日乌克兰乌克兰卫生部第</w:t>
            </w:r>
            <w:r>
              <w:rPr>
                <w:sz w:val="25"/>
                <w:szCs w:val="25"/>
                <w:lang w:eastAsia="zh-CN"/>
              </w:rPr>
              <w:t>45</w:t>
            </w:r>
            <w:r>
              <w:rPr>
                <w:rFonts w:hint="eastAsia" w:ascii="宋体" w:hAnsi="宋体" w:eastAsia="宋体" w:cs="宋体"/>
                <w:sz w:val="25"/>
                <w:szCs w:val="25"/>
                <w:lang w:eastAsia="zh-CN"/>
              </w:rPr>
              <w:t>号</w:t>
            </w:r>
            <w:r>
              <w:rPr>
                <w:sz w:val="25"/>
                <w:szCs w:val="25"/>
                <w:lang w:eastAsia="zh-CN"/>
              </w:rPr>
              <w:t>“</w:t>
            </w:r>
            <w:r>
              <w:rPr>
                <w:rFonts w:hint="eastAsia" w:ascii="宋体" w:hAnsi="宋体" w:eastAsia="宋体" w:cs="宋体"/>
                <w:sz w:val="25"/>
                <w:szCs w:val="25"/>
                <w:lang w:eastAsia="zh-CN"/>
              </w:rPr>
              <w:t>关于批准食品香料要求、食品添加剂要求和食品酶要求</w:t>
            </w:r>
            <w:r>
              <w:rPr>
                <w:sz w:val="25"/>
                <w:szCs w:val="25"/>
                <w:lang w:eastAsia="zh-CN"/>
              </w:rPr>
              <w:t>”</w:t>
            </w:r>
            <w:r>
              <w:rPr>
                <w:rFonts w:hint="eastAsia" w:ascii="宋体" w:hAnsi="宋体" w:eastAsia="宋体" w:cs="宋体"/>
                <w:sz w:val="25"/>
                <w:szCs w:val="25"/>
                <w:lang w:eastAsia="zh-CN"/>
              </w:rPr>
              <w:t>的命令批准的食品酶。</w:t>
            </w:r>
          </w:p>
        </w:tc>
        <w:tc>
          <w:tcPr>
            <w:tcW w:w="2713" w:type="dxa"/>
            <w:gridSpan w:val="2"/>
            <w:vMerge w:val="restart"/>
          </w:tcPr>
          <w:p w14:paraId="5101C0CB">
            <w:pPr>
              <w:pStyle w:val="9"/>
              <w:rPr>
                <w:sz w:val="24"/>
                <w:lang w:eastAsia="zh-CN"/>
              </w:rPr>
            </w:pPr>
          </w:p>
        </w:tc>
        <w:tc>
          <w:tcPr>
            <w:tcW w:w="1639" w:type="dxa"/>
          </w:tcPr>
          <w:p w14:paraId="3A3A2B1E">
            <w:pPr>
              <w:pStyle w:val="9"/>
              <w:ind w:left="507"/>
              <w:rPr>
                <w:sz w:val="25"/>
              </w:rPr>
            </w:pPr>
            <w:r>
              <w:rPr>
                <w:rFonts w:hint="eastAsia" w:ascii="宋体" w:hAnsi="宋体" w:eastAsia="宋体" w:cs="宋体"/>
                <w:sz w:val="25"/>
                <w:szCs w:val="25"/>
              </w:rPr>
              <w:t>凝乳酶</w:t>
            </w:r>
          </w:p>
        </w:tc>
        <w:tc>
          <w:tcPr>
            <w:tcW w:w="3051" w:type="dxa"/>
            <w:gridSpan w:val="2"/>
            <w:vMerge w:val="restart"/>
          </w:tcPr>
          <w:p w14:paraId="23F6BB86">
            <w:pPr>
              <w:pStyle w:val="9"/>
              <w:rPr>
                <w:sz w:val="24"/>
              </w:rPr>
            </w:pPr>
          </w:p>
        </w:tc>
      </w:tr>
      <w:tr w14:paraId="5BEB2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661" w:type="dxa"/>
            <w:vMerge w:val="continue"/>
            <w:tcBorders>
              <w:top w:val="nil"/>
            </w:tcBorders>
          </w:tcPr>
          <w:p w14:paraId="0242A7A9">
            <w:pPr>
              <w:rPr>
                <w:sz w:val="2"/>
                <w:szCs w:val="2"/>
              </w:rPr>
            </w:pPr>
          </w:p>
        </w:tc>
        <w:tc>
          <w:tcPr>
            <w:tcW w:w="2649" w:type="dxa"/>
            <w:vMerge w:val="continue"/>
            <w:tcBorders>
              <w:top w:val="nil"/>
            </w:tcBorders>
          </w:tcPr>
          <w:p w14:paraId="0DA11A71">
            <w:pPr>
              <w:rPr>
                <w:sz w:val="2"/>
                <w:szCs w:val="2"/>
              </w:rPr>
            </w:pPr>
          </w:p>
        </w:tc>
        <w:tc>
          <w:tcPr>
            <w:tcW w:w="4417" w:type="dxa"/>
            <w:vMerge w:val="continue"/>
            <w:tcBorders>
              <w:top w:val="nil"/>
            </w:tcBorders>
          </w:tcPr>
          <w:p w14:paraId="4EA7E22F">
            <w:pPr>
              <w:rPr>
                <w:sz w:val="2"/>
                <w:szCs w:val="2"/>
              </w:rPr>
            </w:pPr>
          </w:p>
        </w:tc>
        <w:tc>
          <w:tcPr>
            <w:tcW w:w="2713" w:type="dxa"/>
            <w:gridSpan w:val="2"/>
            <w:vMerge w:val="continue"/>
            <w:tcBorders>
              <w:top w:val="nil"/>
            </w:tcBorders>
          </w:tcPr>
          <w:p w14:paraId="5E7DFA4E">
            <w:pPr>
              <w:rPr>
                <w:sz w:val="2"/>
                <w:szCs w:val="2"/>
              </w:rPr>
            </w:pPr>
          </w:p>
        </w:tc>
        <w:tc>
          <w:tcPr>
            <w:tcW w:w="1639" w:type="dxa"/>
          </w:tcPr>
          <w:p w14:paraId="0D82A600">
            <w:pPr>
              <w:pStyle w:val="9"/>
              <w:jc w:val="center"/>
              <w:rPr>
                <w:sz w:val="25"/>
              </w:rPr>
            </w:pPr>
            <w:r>
              <w:rPr>
                <w:rFonts w:hint="eastAsia" w:ascii="宋体" w:hAnsi="宋体" w:eastAsia="宋体" w:cs="宋体"/>
                <w:sz w:val="25"/>
                <w:szCs w:val="25"/>
              </w:rPr>
              <w:t>其他凝乳酶</w:t>
            </w:r>
          </w:p>
        </w:tc>
        <w:tc>
          <w:tcPr>
            <w:tcW w:w="3051" w:type="dxa"/>
            <w:gridSpan w:val="2"/>
            <w:vMerge w:val="continue"/>
            <w:tcBorders>
              <w:top w:val="nil"/>
            </w:tcBorders>
          </w:tcPr>
          <w:p w14:paraId="1E8A1BB6">
            <w:pPr>
              <w:rPr>
                <w:sz w:val="2"/>
                <w:szCs w:val="2"/>
              </w:rPr>
            </w:pPr>
          </w:p>
        </w:tc>
      </w:tr>
      <w:tr w14:paraId="343FA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661" w:type="dxa"/>
            <w:vMerge w:val="continue"/>
            <w:tcBorders>
              <w:top w:val="nil"/>
            </w:tcBorders>
          </w:tcPr>
          <w:p w14:paraId="1AA8935B">
            <w:pPr>
              <w:rPr>
                <w:sz w:val="2"/>
                <w:szCs w:val="2"/>
              </w:rPr>
            </w:pPr>
          </w:p>
        </w:tc>
        <w:tc>
          <w:tcPr>
            <w:tcW w:w="2649" w:type="dxa"/>
            <w:vMerge w:val="continue"/>
            <w:tcBorders>
              <w:top w:val="nil"/>
            </w:tcBorders>
          </w:tcPr>
          <w:p w14:paraId="42648149">
            <w:pPr>
              <w:rPr>
                <w:sz w:val="2"/>
                <w:szCs w:val="2"/>
              </w:rPr>
            </w:pPr>
          </w:p>
        </w:tc>
        <w:tc>
          <w:tcPr>
            <w:tcW w:w="4417" w:type="dxa"/>
            <w:vMerge w:val="restart"/>
          </w:tcPr>
          <w:p w14:paraId="26AFAAA2">
            <w:pPr>
              <w:pStyle w:val="9"/>
              <w:ind w:left="108"/>
              <w:rPr>
                <w:sz w:val="25"/>
                <w:lang w:eastAsia="zh-CN"/>
              </w:rPr>
            </w:pPr>
            <w:r>
              <w:rPr>
                <w:rFonts w:hint="eastAsia" w:ascii="宋体" w:hAnsi="宋体" w:eastAsia="宋体" w:cs="宋体"/>
                <w:sz w:val="25"/>
                <w:szCs w:val="25"/>
                <w:lang w:eastAsia="zh-CN"/>
              </w:rPr>
              <w:t>食品添加剂（任选的中和剂和缓冲剂）：</w:t>
            </w:r>
          </w:p>
        </w:tc>
        <w:tc>
          <w:tcPr>
            <w:tcW w:w="2713" w:type="dxa"/>
            <w:gridSpan w:val="2"/>
            <w:vMerge w:val="restart"/>
          </w:tcPr>
          <w:p w14:paraId="7B22E90D">
            <w:pPr>
              <w:pStyle w:val="9"/>
              <w:rPr>
                <w:sz w:val="24"/>
                <w:lang w:eastAsia="zh-CN"/>
              </w:rPr>
            </w:pPr>
          </w:p>
        </w:tc>
        <w:tc>
          <w:tcPr>
            <w:tcW w:w="1639" w:type="dxa"/>
            <w:vMerge w:val="restart"/>
          </w:tcPr>
          <w:p w14:paraId="5D73AEFA">
            <w:pPr>
              <w:pStyle w:val="9"/>
              <w:rPr>
                <w:sz w:val="24"/>
                <w:lang w:eastAsia="zh-CN"/>
              </w:rPr>
            </w:pPr>
          </w:p>
        </w:tc>
        <w:tc>
          <w:tcPr>
            <w:tcW w:w="1590" w:type="dxa"/>
          </w:tcPr>
          <w:p w14:paraId="3AA79998">
            <w:pPr>
              <w:pStyle w:val="9"/>
              <w:ind w:left="183"/>
              <w:rPr>
                <w:sz w:val="25"/>
              </w:rPr>
            </w:pPr>
            <w:r>
              <w:rPr>
                <w:rFonts w:hint="eastAsia" w:ascii="宋体" w:hAnsi="宋体" w:eastAsia="宋体" w:cs="宋体"/>
                <w:sz w:val="25"/>
                <w:szCs w:val="25"/>
              </w:rPr>
              <w:t>羟基</w:t>
            </w:r>
          </w:p>
        </w:tc>
        <w:tc>
          <w:tcPr>
            <w:tcW w:w="1461" w:type="dxa"/>
            <w:vMerge w:val="restart"/>
          </w:tcPr>
          <w:p w14:paraId="2C89395E">
            <w:pPr>
              <w:pStyle w:val="9"/>
              <w:jc w:val="center"/>
              <w:rPr>
                <w:sz w:val="25"/>
              </w:rPr>
            </w:pPr>
            <w:r>
              <w:rPr>
                <w:rFonts w:hint="eastAsia" w:ascii="宋体" w:hAnsi="宋体" w:eastAsia="宋体" w:cs="宋体"/>
                <w:sz w:val="25"/>
                <w:szCs w:val="25"/>
              </w:rPr>
              <w:t>钠、钾、钙、铵、镁</w:t>
            </w:r>
          </w:p>
        </w:tc>
      </w:tr>
      <w:tr w14:paraId="1CB7E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661" w:type="dxa"/>
            <w:vMerge w:val="continue"/>
            <w:tcBorders>
              <w:top w:val="nil"/>
            </w:tcBorders>
          </w:tcPr>
          <w:p w14:paraId="18B4BDAB">
            <w:pPr>
              <w:rPr>
                <w:sz w:val="2"/>
                <w:szCs w:val="2"/>
              </w:rPr>
            </w:pPr>
          </w:p>
        </w:tc>
        <w:tc>
          <w:tcPr>
            <w:tcW w:w="2649" w:type="dxa"/>
            <w:vMerge w:val="continue"/>
            <w:tcBorders>
              <w:top w:val="nil"/>
            </w:tcBorders>
          </w:tcPr>
          <w:p w14:paraId="3288D557">
            <w:pPr>
              <w:rPr>
                <w:sz w:val="2"/>
                <w:szCs w:val="2"/>
              </w:rPr>
            </w:pPr>
          </w:p>
        </w:tc>
        <w:tc>
          <w:tcPr>
            <w:tcW w:w="4417" w:type="dxa"/>
            <w:vMerge w:val="continue"/>
            <w:tcBorders>
              <w:top w:val="nil"/>
            </w:tcBorders>
          </w:tcPr>
          <w:p w14:paraId="4FA5C2C2">
            <w:pPr>
              <w:rPr>
                <w:sz w:val="2"/>
                <w:szCs w:val="2"/>
              </w:rPr>
            </w:pPr>
          </w:p>
        </w:tc>
        <w:tc>
          <w:tcPr>
            <w:tcW w:w="2713" w:type="dxa"/>
            <w:gridSpan w:val="2"/>
            <w:vMerge w:val="continue"/>
            <w:tcBorders>
              <w:top w:val="nil"/>
            </w:tcBorders>
          </w:tcPr>
          <w:p w14:paraId="109A625D">
            <w:pPr>
              <w:rPr>
                <w:sz w:val="2"/>
                <w:szCs w:val="2"/>
              </w:rPr>
            </w:pPr>
          </w:p>
        </w:tc>
        <w:tc>
          <w:tcPr>
            <w:tcW w:w="1639" w:type="dxa"/>
            <w:vMerge w:val="continue"/>
            <w:tcBorders>
              <w:top w:val="nil"/>
            </w:tcBorders>
          </w:tcPr>
          <w:p w14:paraId="38EF252F">
            <w:pPr>
              <w:rPr>
                <w:sz w:val="2"/>
                <w:szCs w:val="2"/>
              </w:rPr>
            </w:pPr>
          </w:p>
        </w:tc>
        <w:tc>
          <w:tcPr>
            <w:tcW w:w="1590" w:type="dxa"/>
          </w:tcPr>
          <w:p w14:paraId="10F614B1">
            <w:pPr>
              <w:pStyle w:val="9"/>
              <w:ind w:left="232"/>
              <w:rPr>
                <w:sz w:val="25"/>
              </w:rPr>
            </w:pPr>
            <w:r>
              <w:rPr>
                <w:rFonts w:hint="eastAsia" w:ascii="宋体" w:hAnsi="宋体" w:eastAsia="宋体" w:cs="宋体"/>
                <w:sz w:val="25"/>
                <w:szCs w:val="25"/>
              </w:rPr>
              <w:t>碳酸盐</w:t>
            </w:r>
          </w:p>
        </w:tc>
        <w:tc>
          <w:tcPr>
            <w:tcW w:w="1461" w:type="dxa"/>
            <w:vMerge w:val="continue"/>
            <w:tcBorders>
              <w:top w:val="nil"/>
            </w:tcBorders>
          </w:tcPr>
          <w:p w14:paraId="57452A08">
            <w:pPr>
              <w:rPr>
                <w:sz w:val="2"/>
                <w:szCs w:val="2"/>
              </w:rPr>
            </w:pPr>
          </w:p>
        </w:tc>
      </w:tr>
      <w:tr w14:paraId="6CDEE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661" w:type="dxa"/>
            <w:vMerge w:val="continue"/>
            <w:tcBorders>
              <w:top w:val="nil"/>
            </w:tcBorders>
          </w:tcPr>
          <w:p w14:paraId="10CC672E">
            <w:pPr>
              <w:rPr>
                <w:sz w:val="2"/>
                <w:szCs w:val="2"/>
              </w:rPr>
            </w:pPr>
          </w:p>
        </w:tc>
        <w:tc>
          <w:tcPr>
            <w:tcW w:w="2649" w:type="dxa"/>
            <w:vMerge w:val="continue"/>
            <w:tcBorders>
              <w:top w:val="nil"/>
            </w:tcBorders>
          </w:tcPr>
          <w:p w14:paraId="55742EBB">
            <w:pPr>
              <w:rPr>
                <w:sz w:val="2"/>
                <w:szCs w:val="2"/>
              </w:rPr>
            </w:pPr>
          </w:p>
        </w:tc>
        <w:tc>
          <w:tcPr>
            <w:tcW w:w="4417" w:type="dxa"/>
            <w:vMerge w:val="continue"/>
            <w:tcBorders>
              <w:top w:val="nil"/>
            </w:tcBorders>
          </w:tcPr>
          <w:p w14:paraId="2F2DB3D6">
            <w:pPr>
              <w:rPr>
                <w:sz w:val="2"/>
                <w:szCs w:val="2"/>
              </w:rPr>
            </w:pPr>
          </w:p>
        </w:tc>
        <w:tc>
          <w:tcPr>
            <w:tcW w:w="2713" w:type="dxa"/>
            <w:gridSpan w:val="2"/>
            <w:vMerge w:val="continue"/>
            <w:tcBorders>
              <w:top w:val="nil"/>
            </w:tcBorders>
          </w:tcPr>
          <w:p w14:paraId="77C73BF0">
            <w:pPr>
              <w:rPr>
                <w:sz w:val="2"/>
                <w:szCs w:val="2"/>
              </w:rPr>
            </w:pPr>
          </w:p>
        </w:tc>
        <w:tc>
          <w:tcPr>
            <w:tcW w:w="1639" w:type="dxa"/>
            <w:vMerge w:val="continue"/>
            <w:tcBorders>
              <w:top w:val="nil"/>
            </w:tcBorders>
          </w:tcPr>
          <w:p w14:paraId="13906203">
            <w:pPr>
              <w:rPr>
                <w:sz w:val="2"/>
                <w:szCs w:val="2"/>
              </w:rPr>
            </w:pPr>
          </w:p>
        </w:tc>
        <w:tc>
          <w:tcPr>
            <w:tcW w:w="1590" w:type="dxa"/>
          </w:tcPr>
          <w:p w14:paraId="45A5DB42">
            <w:pPr>
              <w:pStyle w:val="9"/>
              <w:ind w:left="108"/>
              <w:rPr>
                <w:sz w:val="25"/>
              </w:rPr>
            </w:pPr>
            <w:r>
              <w:rPr>
                <w:rFonts w:hint="eastAsia" w:ascii="宋体" w:hAnsi="宋体" w:eastAsia="宋体" w:cs="宋体"/>
                <w:sz w:val="25"/>
                <w:szCs w:val="25"/>
              </w:rPr>
              <w:t>磷酸盐</w:t>
            </w:r>
          </w:p>
        </w:tc>
        <w:tc>
          <w:tcPr>
            <w:tcW w:w="1461" w:type="dxa"/>
            <w:vMerge w:val="continue"/>
            <w:tcBorders>
              <w:top w:val="nil"/>
            </w:tcBorders>
          </w:tcPr>
          <w:p w14:paraId="781A2E56">
            <w:pPr>
              <w:rPr>
                <w:sz w:val="2"/>
                <w:szCs w:val="2"/>
              </w:rPr>
            </w:pPr>
          </w:p>
        </w:tc>
      </w:tr>
      <w:tr w14:paraId="2C76F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661" w:type="dxa"/>
            <w:vMerge w:val="continue"/>
            <w:tcBorders>
              <w:top w:val="nil"/>
            </w:tcBorders>
          </w:tcPr>
          <w:p w14:paraId="552F39C8">
            <w:pPr>
              <w:rPr>
                <w:sz w:val="2"/>
                <w:szCs w:val="2"/>
              </w:rPr>
            </w:pPr>
          </w:p>
        </w:tc>
        <w:tc>
          <w:tcPr>
            <w:tcW w:w="2649" w:type="dxa"/>
            <w:vMerge w:val="continue"/>
            <w:tcBorders>
              <w:top w:val="nil"/>
            </w:tcBorders>
          </w:tcPr>
          <w:p w14:paraId="11F29D8E">
            <w:pPr>
              <w:rPr>
                <w:sz w:val="2"/>
                <w:szCs w:val="2"/>
              </w:rPr>
            </w:pPr>
          </w:p>
        </w:tc>
        <w:tc>
          <w:tcPr>
            <w:tcW w:w="4417" w:type="dxa"/>
            <w:vMerge w:val="continue"/>
            <w:tcBorders>
              <w:top w:val="nil"/>
            </w:tcBorders>
          </w:tcPr>
          <w:p w14:paraId="53EEA811">
            <w:pPr>
              <w:rPr>
                <w:sz w:val="2"/>
                <w:szCs w:val="2"/>
              </w:rPr>
            </w:pPr>
          </w:p>
        </w:tc>
        <w:tc>
          <w:tcPr>
            <w:tcW w:w="2713" w:type="dxa"/>
            <w:gridSpan w:val="2"/>
            <w:vMerge w:val="continue"/>
            <w:tcBorders>
              <w:top w:val="nil"/>
            </w:tcBorders>
          </w:tcPr>
          <w:p w14:paraId="4A8653FD">
            <w:pPr>
              <w:rPr>
                <w:sz w:val="2"/>
                <w:szCs w:val="2"/>
              </w:rPr>
            </w:pPr>
          </w:p>
        </w:tc>
        <w:tc>
          <w:tcPr>
            <w:tcW w:w="1639" w:type="dxa"/>
            <w:vMerge w:val="continue"/>
            <w:tcBorders>
              <w:top w:val="nil"/>
            </w:tcBorders>
          </w:tcPr>
          <w:p w14:paraId="33492E46">
            <w:pPr>
              <w:rPr>
                <w:sz w:val="2"/>
                <w:szCs w:val="2"/>
              </w:rPr>
            </w:pPr>
          </w:p>
        </w:tc>
        <w:tc>
          <w:tcPr>
            <w:tcW w:w="1590" w:type="dxa"/>
          </w:tcPr>
          <w:p w14:paraId="752F8CD8">
            <w:pPr>
              <w:pStyle w:val="9"/>
              <w:ind w:left="406"/>
              <w:rPr>
                <w:sz w:val="25"/>
              </w:rPr>
            </w:pPr>
            <w:r>
              <w:rPr>
                <w:rFonts w:hint="eastAsia" w:ascii="宋体" w:hAnsi="宋体" w:eastAsia="宋体" w:cs="宋体"/>
                <w:sz w:val="25"/>
                <w:szCs w:val="25"/>
              </w:rPr>
              <w:t>柠檬酸盐</w:t>
            </w:r>
          </w:p>
        </w:tc>
        <w:tc>
          <w:tcPr>
            <w:tcW w:w="1461" w:type="dxa"/>
            <w:vMerge w:val="continue"/>
            <w:tcBorders>
              <w:top w:val="nil"/>
            </w:tcBorders>
          </w:tcPr>
          <w:p w14:paraId="51342E36">
            <w:pPr>
              <w:rPr>
                <w:sz w:val="2"/>
                <w:szCs w:val="2"/>
              </w:rPr>
            </w:pPr>
          </w:p>
        </w:tc>
      </w:tr>
      <w:tr w14:paraId="41AE5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61" w:type="dxa"/>
            <w:vMerge w:val="restart"/>
          </w:tcPr>
          <w:p w14:paraId="62875D42">
            <w:pPr>
              <w:pStyle w:val="9"/>
              <w:rPr>
                <w:b/>
                <w:sz w:val="28"/>
              </w:rPr>
            </w:pPr>
          </w:p>
          <w:p w14:paraId="37B2D56C">
            <w:pPr>
              <w:pStyle w:val="9"/>
              <w:rPr>
                <w:b/>
              </w:rPr>
            </w:pPr>
          </w:p>
          <w:p w14:paraId="7BA844BC">
            <w:pPr>
              <w:pStyle w:val="9"/>
              <w:jc w:val="center"/>
              <w:rPr>
                <w:sz w:val="25"/>
              </w:rPr>
            </w:pPr>
            <w:r>
              <w:rPr>
                <w:spacing w:val="-5"/>
                <w:sz w:val="25"/>
              </w:rPr>
              <w:t>5.</w:t>
            </w:r>
          </w:p>
        </w:tc>
        <w:tc>
          <w:tcPr>
            <w:tcW w:w="2649" w:type="dxa"/>
            <w:vMerge w:val="restart"/>
          </w:tcPr>
          <w:p w14:paraId="4CAD8AB0">
            <w:pPr>
              <w:pStyle w:val="9"/>
              <w:rPr>
                <w:b/>
                <w:sz w:val="28"/>
              </w:rPr>
            </w:pPr>
          </w:p>
          <w:p w14:paraId="5AB35ED1">
            <w:pPr>
              <w:pStyle w:val="9"/>
              <w:rPr>
                <w:b/>
              </w:rPr>
            </w:pPr>
          </w:p>
          <w:p w14:paraId="50A16F8E">
            <w:pPr>
              <w:pStyle w:val="9"/>
              <w:ind w:left="609" w:firstLine="62"/>
              <w:rPr>
                <w:sz w:val="25"/>
              </w:rPr>
            </w:pPr>
            <w:r>
              <w:rPr>
                <w:rFonts w:hint="eastAsia" w:ascii="宋体" w:hAnsi="宋体" w:eastAsia="宋体" w:cs="宋体"/>
                <w:sz w:val="25"/>
                <w:szCs w:val="25"/>
              </w:rPr>
              <w:t>感官特性</w:t>
            </w:r>
          </w:p>
        </w:tc>
        <w:tc>
          <w:tcPr>
            <w:tcW w:w="4417" w:type="dxa"/>
          </w:tcPr>
          <w:p w14:paraId="5C7DF1EA">
            <w:pPr>
              <w:pStyle w:val="9"/>
              <w:ind w:left="108"/>
              <w:rPr>
                <w:sz w:val="25"/>
              </w:rPr>
            </w:pPr>
            <w:r>
              <w:rPr>
                <w:rFonts w:hint="eastAsia" w:ascii="宋体" w:hAnsi="宋体" w:eastAsia="宋体" w:cs="宋体"/>
                <w:sz w:val="25"/>
                <w:szCs w:val="25"/>
              </w:rPr>
              <w:t>气味</w:t>
            </w:r>
          </w:p>
        </w:tc>
        <w:tc>
          <w:tcPr>
            <w:tcW w:w="4352" w:type="dxa"/>
            <w:gridSpan w:val="3"/>
          </w:tcPr>
          <w:p w14:paraId="4BA1D6FB">
            <w:pPr>
              <w:pStyle w:val="9"/>
              <w:ind w:left="1287"/>
              <w:rPr>
                <w:sz w:val="25"/>
              </w:rPr>
            </w:pPr>
            <w:r>
              <w:rPr>
                <w:rFonts w:hint="eastAsia" w:ascii="宋体" w:hAnsi="宋体" w:eastAsia="宋体" w:cs="宋体"/>
                <w:sz w:val="25"/>
                <w:szCs w:val="25"/>
              </w:rPr>
              <w:t>无异味</w:t>
            </w:r>
          </w:p>
        </w:tc>
        <w:tc>
          <w:tcPr>
            <w:tcW w:w="3051" w:type="dxa"/>
            <w:gridSpan w:val="2"/>
          </w:tcPr>
          <w:p w14:paraId="71BB41CB">
            <w:pPr>
              <w:pStyle w:val="9"/>
              <w:spacing w:line="280" w:lineRule="atLeast"/>
              <w:ind w:left="973" w:hanging="813"/>
              <w:rPr>
                <w:sz w:val="25"/>
                <w:lang w:eastAsia="zh-CN"/>
              </w:rPr>
            </w:pPr>
            <w:r>
              <w:rPr>
                <w:rFonts w:hint="eastAsia" w:ascii="宋体" w:hAnsi="宋体" w:eastAsia="宋体" w:cs="宋体"/>
                <w:sz w:val="25"/>
                <w:szCs w:val="25"/>
                <w:lang w:eastAsia="zh-CN"/>
              </w:rPr>
              <w:t>非常轻微的外来味道和气味</w:t>
            </w:r>
          </w:p>
        </w:tc>
      </w:tr>
      <w:tr w14:paraId="2ED48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661" w:type="dxa"/>
            <w:vMerge w:val="continue"/>
            <w:tcBorders>
              <w:top w:val="nil"/>
            </w:tcBorders>
          </w:tcPr>
          <w:p w14:paraId="3C7E0225">
            <w:pPr>
              <w:rPr>
                <w:sz w:val="2"/>
                <w:szCs w:val="2"/>
                <w:lang w:eastAsia="zh-CN"/>
              </w:rPr>
            </w:pPr>
          </w:p>
        </w:tc>
        <w:tc>
          <w:tcPr>
            <w:tcW w:w="2649" w:type="dxa"/>
            <w:vMerge w:val="continue"/>
            <w:tcBorders>
              <w:top w:val="nil"/>
            </w:tcBorders>
          </w:tcPr>
          <w:p w14:paraId="00B9FE8A">
            <w:pPr>
              <w:rPr>
                <w:sz w:val="2"/>
                <w:szCs w:val="2"/>
                <w:lang w:eastAsia="zh-CN"/>
              </w:rPr>
            </w:pPr>
          </w:p>
        </w:tc>
        <w:tc>
          <w:tcPr>
            <w:tcW w:w="4417" w:type="dxa"/>
          </w:tcPr>
          <w:p w14:paraId="1C2A50C8">
            <w:pPr>
              <w:pStyle w:val="9"/>
              <w:ind w:left="108"/>
              <w:rPr>
                <w:sz w:val="25"/>
              </w:rPr>
            </w:pPr>
            <w:r>
              <w:rPr>
                <w:rFonts w:hint="eastAsia" w:ascii="宋体" w:hAnsi="宋体" w:eastAsia="宋体" w:cs="宋体"/>
                <w:sz w:val="25"/>
                <w:szCs w:val="25"/>
              </w:rPr>
              <w:t>外观</w:t>
            </w:r>
          </w:p>
        </w:tc>
        <w:tc>
          <w:tcPr>
            <w:tcW w:w="7403" w:type="dxa"/>
            <w:gridSpan w:val="5"/>
          </w:tcPr>
          <w:p w14:paraId="74360479">
            <w:pPr>
              <w:pStyle w:val="9"/>
              <w:spacing w:line="280" w:lineRule="atLeast"/>
              <w:ind w:left="493" w:hanging="42"/>
              <w:rPr>
                <w:sz w:val="25"/>
                <w:lang w:eastAsia="zh-CN"/>
              </w:rPr>
            </w:pPr>
            <w:r>
              <w:rPr>
                <w:rFonts w:hint="eastAsia" w:ascii="宋体" w:hAnsi="宋体" w:eastAsia="宋体" w:cs="宋体"/>
                <w:sz w:val="25"/>
                <w:szCs w:val="25"/>
                <w:lang w:eastAsia="zh-CN"/>
              </w:rPr>
              <w:t>颜色范围从白色到乳白色产品不得含有任何在轻微压力下不会破裂的结块</w:t>
            </w:r>
          </w:p>
        </w:tc>
      </w:tr>
      <w:tr w14:paraId="5DFB5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661" w:type="dxa"/>
            <w:vMerge w:val="continue"/>
            <w:tcBorders>
              <w:top w:val="nil"/>
            </w:tcBorders>
          </w:tcPr>
          <w:p w14:paraId="4A2B9AAC">
            <w:pPr>
              <w:rPr>
                <w:sz w:val="2"/>
                <w:szCs w:val="2"/>
                <w:lang w:eastAsia="zh-CN"/>
              </w:rPr>
            </w:pPr>
          </w:p>
        </w:tc>
        <w:tc>
          <w:tcPr>
            <w:tcW w:w="2649" w:type="dxa"/>
            <w:vMerge w:val="continue"/>
            <w:tcBorders>
              <w:top w:val="nil"/>
            </w:tcBorders>
          </w:tcPr>
          <w:p w14:paraId="36B6F92A">
            <w:pPr>
              <w:rPr>
                <w:sz w:val="2"/>
                <w:szCs w:val="2"/>
                <w:lang w:eastAsia="zh-CN"/>
              </w:rPr>
            </w:pPr>
          </w:p>
        </w:tc>
        <w:tc>
          <w:tcPr>
            <w:tcW w:w="4417" w:type="dxa"/>
          </w:tcPr>
          <w:p w14:paraId="092961BD">
            <w:pPr>
              <w:pStyle w:val="9"/>
              <w:ind w:left="108"/>
              <w:rPr>
                <w:sz w:val="25"/>
              </w:rPr>
            </w:pPr>
            <w:r>
              <w:rPr>
                <w:rFonts w:hint="eastAsia" w:ascii="宋体" w:hAnsi="宋体" w:eastAsia="宋体" w:cs="宋体"/>
                <w:sz w:val="25"/>
                <w:szCs w:val="25"/>
              </w:rPr>
              <w:t>溶解度</w:t>
            </w:r>
          </w:p>
        </w:tc>
        <w:tc>
          <w:tcPr>
            <w:tcW w:w="2713" w:type="dxa"/>
            <w:gridSpan w:val="2"/>
          </w:tcPr>
          <w:p w14:paraId="3037FDCE">
            <w:pPr>
              <w:pStyle w:val="9"/>
              <w:rPr>
                <w:sz w:val="24"/>
              </w:rPr>
            </w:pPr>
          </w:p>
        </w:tc>
        <w:tc>
          <w:tcPr>
            <w:tcW w:w="1639" w:type="dxa"/>
          </w:tcPr>
          <w:p w14:paraId="4B478891">
            <w:pPr>
              <w:pStyle w:val="9"/>
              <w:rPr>
                <w:sz w:val="24"/>
              </w:rPr>
            </w:pPr>
          </w:p>
        </w:tc>
        <w:tc>
          <w:tcPr>
            <w:tcW w:w="3051" w:type="dxa"/>
            <w:gridSpan w:val="2"/>
          </w:tcPr>
          <w:p w14:paraId="7DB3DB4E">
            <w:pPr>
              <w:pStyle w:val="9"/>
              <w:spacing w:line="280" w:lineRule="atLeast"/>
              <w:jc w:val="center"/>
              <w:rPr>
                <w:sz w:val="25"/>
                <w:lang w:eastAsia="zh-CN"/>
              </w:rPr>
            </w:pPr>
            <w:r>
              <w:rPr>
                <w:rFonts w:hint="eastAsia" w:ascii="宋体" w:hAnsi="宋体" w:eastAsia="宋体" w:cs="宋体"/>
                <w:sz w:val="25"/>
                <w:szCs w:val="25"/>
                <w:lang w:eastAsia="zh-CN"/>
              </w:rPr>
              <w:t>几乎完全溶于蒸馏水，酪蛋白酸钙除外</w:t>
            </w:r>
          </w:p>
        </w:tc>
      </w:tr>
    </w:tbl>
    <w:p w14:paraId="449E6FA8">
      <w:pPr>
        <w:rPr>
          <w:lang w:eastAsia="zh-CN"/>
        </w:rPr>
      </w:pPr>
    </w:p>
    <w:sectPr>
      <w:pgSz w:w="16840" w:h="11910" w:orient="landscape"/>
      <w:pgMar w:top="1100" w:right="740" w:bottom="280" w:left="7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9850BE"/>
    <w:multiLevelType w:val="multilevel"/>
    <w:tmpl w:val="059850BE"/>
    <w:lvl w:ilvl="0" w:tentative="0">
      <w:start w:val="1"/>
      <w:numFmt w:val="decimal"/>
      <w:lvlText w:val="%1)"/>
      <w:lvlJc w:val="left"/>
      <w:pPr>
        <w:ind w:left="117" w:hanging="348"/>
        <w:jc w:val="left"/>
      </w:pPr>
      <w:rPr>
        <w:rFonts w:hint="default" w:ascii="Times New Roman" w:hAnsi="Times New Roman" w:eastAsia="Times New Roman" w:cs="Times New Roman"/>
        <w:b w:val="0"/>
        <w:bCs w:val="0"/>
        <w:i w:val="0"/>
        <w:iCs w:val="0"/>
        <w:w w:val="100"/>
        <w:sz w:val="26"/>
        <w:szCs w:val="26"/>
        <w:lang w:val="uk-UA" w:eastAsia="en-US" w:bidi="ar-SA"/>
      </w:rPr>
    </w:lvl>
    <w:lvl w:ilvl="1" w:tentative="0">
      <w:start w:val="0"/>
      <w:numFmt w:val="bullet"/>
      <w:lvlText w:val="•"/>
      <w:lvlJc w:val="left"/>
      <w:pPr>
        <w:ind w:left="1094" w:hanging="348"/>
      </w:pPr>
      <w:rPr>
        <w:rFonts w:hint="default"/>
        <w:lang w:val="uk-UA" w:eastAsia="en-US" w:bidi="ar-SA"/>
      </w:rPr>
    </w:lvl>
    <w:lvl w:ilvl="2" w:tentative="0">
      <w:start w:val="0"/>
      <w:numFmt w:val="bullet"/>
      <w:lvlText w:val="•"/>
      <w:lvlJc w:val="left"/>
      <w:pPr>
        <w:ind w:left="2069" w:hanging="348"/>
      </w:pPr>
      <w:rPr>
        <w:rFonts w:hint="default"/>
        <w:lang w:val="uk-UA" w:eastAsia="en-US" w:bidi="ar-SA"/>
      </w:rPr>
    </w:lvl>
    <w:lvl w:ilvl="3" w:tentative="0">
      <w:start w:val="0"/>
      <w:numFmt w:val="bullet"/>
      <w:lvlText w:val="•"/>
      <w:lvlJc w:val="left"/>
      <w:pPr>
        <w:ind w:left="3043" w:hanging="348"/>
      </w:pPr>
      <w:rPr>
        <w:rFonts w:hint="default"/>
        <w:lang w:val="uk-UA" w:eastAsia="en-US" w:bidi="ar-SA"/>
      </w:rPr>
    </w:lvl>
    <w:lvl w:ilvl="4" w:tentative="0">
      <w:start w:val="0"/>
      <w:numFmt w:val="bullet"/>
      <w:lvlText w:val="•"/>
      <w:lvlJc w:val="left"/>
      <w:pPr>
        <w:ind w:left="4018" w:hanging="348"/>
      </w:pPr>
      <w:rPr>
        <w:rFonts w:hint="default"/>
        <w:lang w:val="uk-UA" w:eastAsia="en-US" w:bidi="ar-SA"/>
      </w:rPr>
    </w:lvl>
    <w:lvl w:ilvl="5" w:tentative="0">
      <w:start w:val="0"/>
      <w:numFmt w:val="bullet"/>
      <w:lvlText w:val="•"/>
      <w:lvlJc w:val="left"/>
      <w:pPr>
        <w:ind w:left="4993" w:hanging="348"/>
      </w:pPr>
      <w:rPr>
        <w:rFonts w:hint="default"/>
        <w:lang w:val="uk-UA" w:eastAsia="en-US" w:bidi="ar-SA"/>
      </w:rPr>
    </w:lvl>
    <w:lvl w:ilvl="6" w:tentative="0">
      <w:start w:val="0"/>
      <w:numFmt w:val="bullet"/>
      <w:lvlText w:val="•"/>
      <w:lvlJc w:val="left"/>
      <w:pPr>
        <w:ind w:left="5967" w:hanging="348"/>
      </w:pPr>
      <w:rPr>
        <w:rFonts w:hint="default"/>
        <w:lang w:val="uk-UA" w:eastAsia="en-US" w:bidi="ar-SA"/>
      </w:rPr>
    </w:lvl>
    <w:lvl w:ilvl="7" w:tentative="0">
      <w:start w:val="0"/>
      <w:numFmt w:val="bullet"/>
      <w:lvlText w:val="•"/>
      <w:lvlJc w:val="left"/>
      <w:pPr>
        <w:ind w:left="6942" w:hanging="348"/>
      </w:pPr>
      <w:rPr>
        <w:rFonts w:hint="default"/>
        <w:lang w:val="uk-UA" w:eastAsia="en-US" w:bidi="ar-SA"/>
      </w:rPr>
    </w:lvl>
    <w:lvl w:ilvl="8" w:tentative="0">
      <w:start w:val="0"/>
      <w:numFmt w:val="bullet"/>
      <w:lvlText w:val="•"/>
      <w:lvlJc w:val="left"/>
      <w:pPr>
        <w:ind w:left="7916" w:hanging="348"/>
      </w:pPr>
      <w:rPr>
        <w:rFonts w:hint="default"/>
        <w:lang w:val="uk-UA" w:eastAsia="en-US" w:bidi="ar-SA"/>
      </w:rPr>
    </w:lvl>
  </w:abstractNum>
  <w:abstractNum w:abstractNumId="1">
    <w:nsid w:val="20ED6E69"/>
    <w:multiLevelType w:val="multilevel"/>
    <w:tmpl w:val="20ED6E69"/>
    <w:lvl w:ilvl="0" w:tentative="0">
      <w:start w:val="1"/>
      <w:numFmt w:val="decimal"/>
      <w:lvlText w:val="%1)"/>
      <w:lvlJc w:val="left"/>
      <w:pPr>
        <w:ind w:left="117" w:hanging="348"/>
        <w:jc w:val="left"/>
      </w:pPr>
      <w:rPr>
        <w:rFonts w:hint="default" w:ascii="Times New Roman" w:hAnsi="Times New Roman" w:eastAsia="Times New Roman" w:cs="Times New Roman"/>
        <w:b w:val="0"/>
        <w:bCs w:val="0"/>
        <w:i w:val="0"/>
        <w:iCs w:val="0"/>
        <w:w w:val="100"/>
        <w:sz w:val="26"/>
        <w:szCs w:val="26"/>
        <w:lang w:val="uk-UA" w:eastAsia="en-US" w:bidi="ar-SA"/>
      </w:rPr>
    </w:lvl>
    <w:lvl w:ilvl="1" w:tentative="0">
      <w:start w:val="0"/>
      <w:numFmt w:val="bullet"/>
      <w:lvlText w:val="•"/>
      <w:lvlJc w:val="left"/>
      <w:pPr>
        <w:ind w:left="1094" w:hanging="348"/>
      </w:pPr>
      <w:rPr>
        <w:rFonts w:hint="default"/>
        <w:lang w:val="uk-UA" w:eastAsia="en-US" w:bidi="ar-SA"/>
      </w:rPr>
    </w:lvl>
    <w:lvl w:ilvl="2" w:tentative="0">
      <w:start w:val="0"/>
      <w:numFmt w:val="bullet"/>
      <w:lvlText w:val="•"/>
      <w:lvlJc w:val="left"/>
      <w:pPr>
        <w:ind w:left="2069" w:hanging="348"/>
      </w:pPr>
      <w:rPr>
        <w:rFonts w:hint="default"/>
        <w:lang w:val="uk-UA" w:eastAsia="en-US" w:bidi="ar-SA"/>
      </w:rPr>
    </w:lvl>
    <w:lvl w:ilvl="3" w:tentative="0">
      <w:start w:val="0"/>
      <w:numFmt w:val="bullet"/>
      <w:lvlText w:val="•"/>
      <w:lvlJc w:val="left"/>
      <w:pPr>
        <w:ind w:left="3043" w:hanging="348"/>
      </w:pPr>
      <w:rPr>
        <w:rFonts w:hint="default"/>
        <w:lang w:val="uk-UA" w:eastAsia="en-US" w:bidi="ar-SA"/>
      </w:rPr>
    </w:lvl>
    <w:lvl w:ilvl="4" w:tentative="0">
      <w:start w:val="0"/>
      <w:numFmt w:val="bullet"/>
      <w:lvlText w:val="•"/>
      <w:lvlJc w:val="left"/>
      <w:pPr>
        <w:ind w:left="4018" w:hanging="348"/>
      </w:pPr>
      <w:rPr>
        <w:rFonts w:hint="default"/>
        <w:lang w:val="uk-UA" w:eastAsia="en-US" w:bidi="ar-SA"/>
      </w:rPr>
    </w:lvl>
    <w:lvl w:ilvl="5" w:tentative="0">
      <w:start w:val="0"/>
      <w:numFmt w:val="bullet"/>
      <w:lvlText w:val="•"/>
      <w:lvlJc w:val="left"/>
      <w:pPr>
        <w:ind w:left="4993" w:hanging="348"/>
      </w:pPr>
      <w:rPr>
        <w:rFonts w:hint="default"/>
        <w:lang w:val="uk-UA" w:eastAsia="en-US" w:bidi="ar-SA"/>
      </w:rPr>
    </w:lvl>
    <w:lvl w:ilvl="6" w:tentative="0">
      <w:start w:val="0"/>
      <w:numFmt w:val="bullet"/>
      <w:lvlText w:val="•"/>
      <w:lvlJc w:val="left"/>
      <w:pPr>
        <w:ind w:left="5967" w:hanging="348"/>
      </w:pPr>
      <w:rPr>
        <w:rFonts w:hint="default"/>
        <w:lang w:val="uk-UA" w:eastAsia="en-US" w:bidi="ar-SA"/>
      </w:rPr>
    </w:lvl>
    <w:lvl w:ilvl="7" w:tentative="0">
      <w:start w:val="0"/>
      <w:numFmt w:val="bullet"/>
      <w:lvlText w:val="•"/>
      <w:lvlJc w:val="left"/>
      <w:pPr>
        <w:ind w:left="6942" w:hanging="348"/>
      </w:pPr>
      <w:rPr>
        <w:rFonts w:hint="default"/>
        <w:lang w:val="uk-UA" w:eastAsia="en-US" w:bidi="ar-SA"/>
      </w:rPr>
    </w:lvl>
    <w:lvl w:ilvl="8" w:tentative="0">
      <w:start w:val="0"/>
      <w:numFmt w:val="bullet"/>
      <w:lvlText w:val="•"/>
      <w:lvlJc w:val="left"/>
      <w:pPr>
        <w:ind w:left="7916" w:hanging="348"/>
      </w:pPr>
      <w:rPr>
        <w:rFonts w:hint="default"/>
        <w:lang w:val="uk-UA" w:eastAsia="en-US" w:bidi="ar-SA"/>
      </w:rPr>
    </w:lvl>
  </w:abstractNum>
  <w:abstractNum w:abstractNumId="2">
    <w:nsid w:val="388B6A66"/>
    <w:multiLevelType w:val="multilevel"/>
    <w:tmpl w:val="388B6A66"/>
    <w:lvl w:ilvl="0" w:tentative="0">
      <w:start w:val="1"/>
      <w:numFmt w:val="decimal"/>
      <w:lvlText w:val="%1."/>
      <w:lvlJc w:val="left"/>
      <w:pPr>
        <w:ind w:left="618" w:hanging="361"/>
        <w:jc w:val="right"/>
      </w:pPr>
      <w:rPr>
        <w:rFonts w:hint="default" w:ascii="Times New Roman" w:hAnsi="Times New Roman" w:eastAsia="Times New Roman" w:cs="Times New Roman"/>
        <w:b w:val="0"/>
        <w:bCs w:val="0"/>
        <w:i w:val="0"/>
        <w:iCs w:val="0"/>
        <w:w w:val="100"/>
        <w:sz w:val="26"/>
        <w:szCs w:val="26"/>
        <w:lang w:val="uk-UA" w:eastAsia="en-US" w:bidi="ar-SA"/>
      </w:rPr>
    </w:lvl>
    <w:lvl w:ilvl="1" w:tentative="0">
      <w:start w:val="0"/>
      <w:numFmt w:val="bullet"/>
      <w:lvlText w:val="•"/>
      <w:lvlJc w:val="left"/>
      <w:pPr>
        <w:ind w:left="1544" w:hanging="361"/>
      </w:pPr>
      <w:rPr>
        <w:rFonts w:hint="default"/>
        <w:lang w:val="uk-UA" w:eastAsia="en-US" w:bidi="ar-SA"/>
      </w:rPr>
    </w:lvl>
    <w:lvl w:ilvl="2" w:tentative="0">
      <w:start w:val="0"/>
      <w:numFmt w:val="bullet"/>
      <w:lvlText w:val="•"/>
      <w:lvlJc w:val="left"/>
      <w:pPr>
        <w:ind w:left="2469" w:hanging="361"/>
      </w:pPr>
      <w:rPr>
        <w:rFonts w:hint="default"/>
        <w:lang w:val="uk-UA" w:eastAsia="en-US" w:bidi="ar-SA"/>
      </w:rPr>
    </w:lvl>
    <w:lvl w:ilvl="3" w:tentative="0">
      <w:start w:val="0"/>
      <w:numFmt w:val="bullet"/>
      <w:lvlText w:val="•"/>
      <w:lvlJc w:val="left"/>
      <w:pPr>
        <w:ind w:left="3393" w:hanging="361"/>
      </w:pPr>
      <w:rPr>
        <w:rFonts w:hint="default"/>
        <w:lang w:val="uk-UA" w:eastAsia="en-US" w:bidi="ar-SA"/>
      </w:rPr>
    </w:lvl>
    <w:lvl w:ilvl="4" w:tentative="0">
      <w:start w:val="0"/>
      <w:numFmt w:val="bullet"/>
      <w:lvlText w:val="•"/>
      <w:lvlJc w:val="left"/>
      <w:pPr>
        <w:ind w:left="4318" w:hanging="361"/>
      </w:pPr>
      <w:rPr>
        <w:rFonts w:hint="default"/>
        <w:lang w:val="uk-UA" w:eastAsia="en-US" w:bidi="ar-SA"/>
      </w:rPr>
    </w:lvl>
    <w:lvl w:ilvl="5" w:tentative="0">
      <w:start w:val="0"/>
      <w:numFmt w:val="bullet"/>
      <w:lvlText w:val="•"/>
      <w:lvlJc w:val="left"/>
      <w:pPr>
        <w:ind w:left="5243" w:hanging="361"/>
      </w:pPr>
      <w:rPr>
        <w:rFonts w:hint="default"/>
        <w:lang w:val="uk-UA" w:eastAsia="en-US" w:bidi="ar-SA"/>
      </w:rPr>
    </w:lvl>
    <w:lvl w:ilvl="6" w:tentative="0">
      <w:start w:val="0"/>
      <w:numFmt w:val="bullet"/>
      <w:lvlText w:val="•"/>
      <w:lvlJc w:val="left"/>
      <w:pPr>
        <w:ind w:left="6167" w:hanging="361"/>
      </w:pPr>
      <w:rPr>
        <w:rFonts w:hint="default"/>
        <w:lang w:val="uk-UA" w:eastAsia="en-US" w:bidi="ar-SA"/>
      </w:rPr>
    </w:lvl>
    <w:lvl w:ilvl="7" w:tentative="0">
      <w:start w:val="0"/>
      <w:numFmt w:val="bullet"/>
      <w:lvlText w:val="•"/>
      <w:lvlJc w:val="left"/>
      <w:pPr>
        <w:ind w:left="7092" w:hanging="361"/>
      </w:pPr>
      <w:rPr>
        <w:rFonts w:hint="default"/>
        <w:lang w:val="uk-UA" w:eastAsia="en-US" w:bidi="ar-SA"/>
      </w:rPr>
    </w:lvl>
    <w:lvl w:ilvl="8" w:tentative="0">
      <w:start w:val="0"/>
      <w:numFmt w:val="bullet"/>
      <w:lvlText w:val="•"/>
      <w:lvlJc w:val="left"/>
      <w:pPr>
        <w:ind w:left="8016" w:hanging="361"/>
      </w:pPr>
      <w:rPr>
        <w:rFonts w:hint="default"/>
        <w:lang w:val="uk-UA" w:eastAsia="en-US" w:bidi="ar-SA"/>
      </w:rPr>
    </w:lvl>
  </w:abstractNum>
  <w:abstractNum w:abstractNumId="3">
    <w:nsid w:val="4B9D13C8"/>
    <w:multiLevelType w:val="multilevel"/>
    <w:tmpl w:val="4B9D13C8"/>
    <w:lvl w:ilvl="0" w:tentative="0">
      <w:start w:val="1"/>
      <w:numFmt w:val="decimal"/>
      <w:lvlText w:val="%1)"/>
      <w:lvlJc w:val="left"/>
      <w:pPr>
        <w:ind w:left="824" w:hanging="348"/>
        <w:jc w:val="left"/>
      </w:pPr>
      <w:rPr>
        <w:rFonts w:hint="default" w:ascii="Times New Roman" w:hAnsi="Times New Roman" w:eastAsia="Times New Roman" w:cs="Times New Roman"/>
        <w:b w:val="0"/>
        <w:bCs w:val="0"/>
        <w:i w:val="0"/>
        <w:iCs w:val="0"/>
        <w:w w:val="100"/>
        <w:sz w:val="26"/>
        <w:szCs w:val="26"/>
        <w:lang w:val="uk-UA" w:eastAsia="en-US" w:bidi="ar-SA"/>
      </w:rPr>
    </w:lvl>
    <w:lvl w:ilvl="1" w:tentative="0">
      <w:start w:val="0"/>
      <w:numFmt w:val="bullet"/>
      <w:lvlText w:val="•"/>
      <w:lvlJc w:val="left"/>
      <w:pPr>
        <w:ind w:left="1724" w:hanging="348"/>
      </w:pPr>
      <w:rPr>
        <w:rFonts w:hint="default"/>
        <w:lang w:val="uk-UA" w:eastAsia="en-US" w:bidi="ar-SA"/>
      </w:rPr>
    </w:lvl>
    <w:lvl w:ilvl="2" w:tentative="0">
      <w:start w:val="0"/>
      <w:numFmt w:val="bullet"/>
      <w:lvlText w:val="•"/>
      <w:lvlJc w:val="left"/>
      <w:pPr>
        <w:ind w:left="2629" w:hanging="348"/>
      </w:pPr>
      <w:rPr>
        <w:rFonts w:hint="default"/>
        <w:lang w:val="uk-UA" w:eastAsia="en-US" w:bidi="ar-SA"/>
      </w:rPr>
    </w:lvl>
    <w:lvl w:ilvl="3" w:tentative="0">
      <w:start w:val="0"/>
      <w:numFmt w:val="bullet"/>
      <w:lvlText w:val="•"/>
      <w:lvlJc w:val="left"/>
      <w:pPr>
        <w:ind w:left="3533" w:hanging="348"/>
      </w:pPr>
      <w:rPr>
        <w:rFonts w:hint="default"/>
        <w:lang w:val="uk-UA" w:eastAsia="en-US" w:bidi="ar-SA"/>
      </w:rPr>
    </w:lvl>
    <w:lvl w:ilvl="4" w:tentative="0">
      <w:start w:val="0"/>
      <w:numFmt w:val="bullet"/>
      <w:lvlText w:val="•"/>
      <w:lvlJc w:val="left"/>
      <w:pPr>
        <w:ind w:left="4438" w:hanging="348"/>
      </w:pPr>
      <w:rPr>
        <w:rFonts w:hint="default"/>
        <w:lang w:val="uk-UA" w:eastAsia="en-US" w:bidi="ar-SA"/>
      </w:rPr>
    </w:lvl>
    <w:lvl w:ilvl="5" w:tentative="0">
      <w:start w:val="0"/>
      <w:numFmt w:val="bullet"/>
      <w:lvlText w:val="•"/>
      <w:lvlJc w:val="left"/>
      <w:pPr>
        <w:ind w:left="5343" w:hanging="348"/>
      </w:pPr>
      <w:rPr>
        <w:rFonts w:hint="default"/>
        <w:lang w:val="uk-UA" w:eastAsia="en-US" w:bidi="ar-SA"/>
      </w:rPr>
    </w:lvl>
    <w:lvl w:ilvl="6" w:tentative="0">
      <w:start w:val="0"/>
      <w:numFmt w:val="bullet"/>
      <w:lvlText w:val="•"/>
      <w:lvlJc w:val="left"/>
      <w:pPr>
        <w:ind w:left="6247" w:hanging="348"/>
      </w:pPr>
      <w:rPr>
        <w:rFonts w:hint="default"/>
        <w:lang w:val="uk-UA" w:eastAsia="en-US" w:bidi="ar-SA"/>
      </w:rPr>
    </w:lvl>
    <w:lvl w:ilvl="7" w:tentative="0">
      <w:start w:val="0"/>
      <w:numFmt w:val="bullet"/>
      <w:lvlText w:val="•"/>
      <w:lvlJc w:val="left"/>
      <w:pPr>
        <w:ind w:left="7152" w:hanging="348"/>
      </w:pPr>
      <w:rPr>
        <w:rFonts w:hint="default"/>
        <w:lang w:val="uk-UA" w:eastAsia="en-US" w:bidi="ar-SA"/>
      </w:rPr>
    </w:lvl>
    <w:lvl w:ilvl="8" w:tentative="0">
      <w:start w:val="0"/>
      <w:numFmt w:val="bullet"/>
      <w:lvlText w:val="•"/>
      <w:lvlJc w:val="left"/>
      <w:pPr>
        <w:ind w:left="8056" w:hanging="348"/>
      </w:pPr>
      <w:rPr>
        <w:rFonts w:hint="default"/>
        <w:lang w:val="uk-UA" w:eastAsia="en-US" w:bidi="ar-SA"/>
      </w:rPr>
    </w:lvl>
  </w:abstractNum>
  <w:abstractNum w:abstractNumId="4">
    <w:nsid w:val="78651757"/>
    <w:multiLevelType w:val="multilevel"/>
    <w:tmpl w:val="78651757"/>
    <w:lvl w:ilvl="0" w:tentative="0">
      <w:start w:val="1"/>
      <w:numFmt w:val="decimal"/>
      <w:lvlText w:val="%1."/>
      <w:lvlJc w:val="left"/>
      <w:pPr>
        <w:ind w:left="117" w:hanging="348"/>
        <w:jc w:val="left"/>
      </w:pPr>
      <w:rPr>
        <w:rFonts w:hint="default" w:ascii="Times New Roman" w:hAnsi="Times New Roman" w:eastAsia="Times New Roman" w:cs="Times New Roman"/>
        <w:b w:val="0"/>
        <w:bCs w:val="0"/>
        <w:i w:val="0"/>
        <w:iCs w:val="0"/>
        <w:w w:val="100"/>
        <w:sz w:val="26"/>
        <w:szCs w:val="26"/>
        <w:lang w:val="uk-UA" w:eastAsia="en-US" w:bidi="ar-SA"/>
      </w:rPr>
    </w:lvl>
    <w:lvl w:ilvl="1" w:tentative="0">
      <w:start w:val="0"/>
      <w:numFmt w:val="bullet"/>
      <w:lvlText w:val="•"/>
      <w:lvlJc w:val="left"/>
      <w:pPr>
        <w:ind w:left="1094" w:hanging="348"/>
      </w:pPr>
      <w:rPr>
        <w:rFonts w:hint="default"/>
        <w:lang w:val="uk-UA" w:eastAsia="en-US" w:bidi="ar-SA"/>
      </w:rPr>
    </w:lvl>
    <w:lvl w:ilvl="2" w:tentative="0">
      <w:start w:val="0"/>
      <w:numFmt w:val="bullet"/>
      <w:lvlText w:val="•"/>
      <w:lvlJc w:val="left"/>
      <w:pPr>
        <w:ind w:left="2069" w:hanging="348"/>
      </w:pPr>
      <w:rPr>
        <w:rFonts w:hint="default"/>
        <w:lang w:val="uk-UA" w:eastAsia="en-US" w:bidi="ar-SA"/>
      </w:rPr>
    </w:lvl>
    <w:lvl w:ilvl="3" w:tentative="0">
      <w:start w:val="0"/>
      <w:numFmt w:val="bullet"/>
      <w:lvlText w:val="•"/>
      <w:lvlJc w:val="left"/>
      <w:pPr>
        <w:ind w:left="3043" w:hanging="348"/>
      </w:pPr>
      <w:rPr>
        <w:rFonts w:hint="default"/>
        <w:lang w:val="uk-UA" w:eastAsia="en-US" w:bidi="ar-SA"/>
      </w:rPr>
    </w:lvl>
    <w:lvl w:ilvl="4" w:tentative="0">
      <w:start w:val="0"/>
      <w:numFmt w:val="bullet"/>
      <w:lvlText w:val="•"/>
      <w:lvlJc w:val="left"/>
      <w:pPr>
        <w:ind w:left="4018" w:hanging="348"/>
      </w:pPr>
      <w:rPr>
        <w:rFonts w:hint="default"/>
        <w:lang w:val="uk-UA" w:eastAsia="en-US" w:bidi="ar-SA"/>
      </w:rPr>
    </w:lvl>
    <w:lvl w:ilvl="5" w:tentative="0">
      <w:start w:val="0"/>
      <w:numFmt w:val="bullet"/>
      <w:lvlText w:val="•"/>
      <w:lvlJc w:val="left"/>
      <w:pPr>
        <w:ind w:left="4993" w:hanging="348"/>
      </w:pPr>
      <w:rPr>
        <w:rFonts w:hint="default"/>
        <w:lang w:val="uk-UA" w:eastAsia="en-US" w:bidi="ar-SA"/>
      </w:rPr>
    </w:lvl>
    <w:lvl w:ilvl="6" w:tentative="0">
      <w:start w:val="0"/>
      <w:numFmt w:val="bullet"/>
      <w:lvlText w:val="•"/>
      <w:lvlJc w:val="left"/>
      <w:pPr>
        <w:ind w:left="5967" w:hanging="348"/>
      </w:pPr>
      <w:rPr>
        <w:rFonts w:hint="default"/>
        <w:lang w:val="uk-UA" w:eastAsia="en-US" w:bidi="ar-SA"/>
      </w:rPr>
    </w:lvl>
    <w:lvl w:ilvl="7" w:tentative="0">
      <w:start w:val="0"/>
      <w:numFmt w:val="bullet"/>
      <w:lvlText w:val="•"/>
      <w:lvlJc w:val="left"/>
      <w:pPr>
        <w:ind w:left="6942" w:hanging="348"/>
      </w:pPr>
      <w:rPr>
        <w:rFonts w:hint="default"/>
        <w:lang w:val="uk-UA" w:eastAsia="en-US" w:bidi="ar-SA"/>
      </w:rPr>
    </w:lvl>
    <w:lvl w:ilvl="8" w:tentative="0">
      <w:start w:val="0"/>
      <w:numFmt w:val="bullet"/>
      <w:lvlText w:val="•"/>
      <w:lvlJc w:val="left"/>
      <w:pPr>
        <w:ind w:left="7916" w:hanging="348"/>
      </w:pPr>
      <w:rPr>
        <w:rFonts w:hint="default"/>
        <w:lang w:val="uk-UA" w:eastAsia="en-US" w:bidi="ar-S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7200ED"/>
    <w:rsid w:val="00682439"/>
    <w:rsid w:val="007200ED"/>
    <w:rsid w:val="00E32D5A"/>
    <w:rsid w:val="031D432A"/>
    <w:rsid w:val="0B0E4E77"/>
    <w:rsid w:val="1AFA0F74"/>
    <w:rsid w:val="1BA333BA"/>
    <w:rsid w:val="25CE54D7"/>
    <w:rsid w:val="263F0183"/>
    <w:rsid w:val="436037BB"/>
    <w:rsid w:val="4A162E25"/>
    <w:rsid w:val="567C04B4"/>
    <w:rsid w:val="587D0513"/>
    <w:rsid w:val="5BE67D4A"/>
    <w:rsid w:val="5C9B540C"/>
    <w:rsid w:val="5E394EDC"/>
    <w:rsid w:val="65D11E9E"/>
    <w:rsid w:val="6A927E4E"/>
    <w:rsid w:val="6B543355"/>
    <w:rsid w:val="6E250FD9"/>
    <w:rsid w:val="6FC30AAA"/>
    <w:rsid w:val="796B01E8"/>
    <w:rsid w:val="7AA731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uk-UA"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ind w:left="116" w:firstLine="360"/>
    </w:pPr>
    <w:rPr>
      <w:sz w:val="26"/>
      <w:szCs w:val="26"/>
    </w:rPr>
  </w:style>
  <w:style w:type="paragraph" w:styleId="3">
    <w:name w:val="footer"/>
    <w:basedOn w:val="1"/>
    <w:link w:val="11"/>
    <w:unhideWhenUsed/>
    <w:uiPriority w:val="99"/>
    <w:pPr>
      <w:tabs>
        <w:tab w:val="center" w:pos="4153"/>
        <w:tab w:val="right" w:pos="8306"/>
      </w:tabs>
      <w:snapToGrid w:val="0"/>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116" w:right="107" w:firstLine="360"/>
      <w:jc w:val="both"/>
    </w:pPr>
  </w:style>
  <w:style w:type="paragraph" w:customStyle="1" w:styleId="9">
    <w:name w:val="Table Paragraph"/>
    <w:basedOn w:val="1"/>
    <w:qFormat/>
    <w:uiPriority w:val="1"/>
  </w:style>
  <w:style w:type="character" w:customStyle="1" w:styleId="10">
    <w:name w:val="页眉 字符"/>
    <w:basedOn w:val="6"/>
    <w:link w:val="4"/>
    <w:uiPriority w:val="99"/>
    <w:rPr>
      <w:rFonts w:ascii="Times New Roman" w:hAnsi="Times New Roman" w:eastAsia="Times New Roman" w:cs="Times New Roman"/>
      <w:sz w:val="18"/>
      <w:szCs w:val="18"/>
      <w:lang w:val="uk-UA"/>
    </w:rPr>
  </w:style>
  <w:style w:type="character" w:customStyle="1" w:styleId="11">
    <w:name w:val="页脚 字符"/>
    <w:basedOn w:val="6"/>
    <w:link w:val="3"/>
    <w:uiPriority w:val="99"/>
    <w:rPr>
      <w:rFonts w:ascii="Times New Roman" w:hAnsi="Times New Roman" w:eastAsia="Times New Roman" w:cs="Times New Roman"/>
      <w:sz w:val="18"/>
      <w:szCs w:val="18"/>
      <w:lang w:val="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Class>
  <codeData xmlns="urn:rootClass:codeData">71E76788ED030475D734ED7DB626B616481C36492E42B2E52B2C297AEC3152A7FF430D43F67FC038AFA5AFC0A5FB0C0306491669DB22659A8CCF7AEE22A426469473A0E457AAFE0072E661B297EA2C63A698C5D649BD0057FA3ADA6B99DD3256BB91BCDC4257B8EF11322F40C3CBCCCC11F523B4438FC31D58C84E92F7090A1D63D58295878FF011054DE9</codeData>
</rootClass>
</file>

<file path=customXml/itemProps1.xml><?xml version="1.0" encoding="utf-8"?>
<ds:datastoreItem xmlns:ds="http://schemas.openxmlformats.org/officeDocument/2006/customXml" ds:itemID="{8F797CEC-8E0E-4F02-B788-D4E1B3520CC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1795</Words>
  <Characters>1865</Characters>
  <Lines>271</Lines>
  <Paragraphs>108</Paragraphs>
  <TotalTime>2</TotalTime>
  <ScaleCrop>false</ScaleCrop>
  <LinksUpToDate>false</LinksUpToDate>
  <CharactersWithSpaces>1871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2025-02-26T02:57:00Z</dcterms:created>
  <dc:creator>КОЗЛОВСЬКА Олеся Олександрівна</dc:creator>
  <cp:lastModifiedBy>欢喜葡萄</cp:lastModifiedBy>
  <cp:lastPrinted>2025-02-26T02:57:00Z</cp:lastPrinted>
  <dcterms:modified xsi:type="dcterms:W3CDTF">2025-02-26T03:10:36Z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2025-02-19T00:00:00Z</vt:filetime>
  </property>
  <property fmtid="{D5CDD505-2E9C-101B-9397-08002B2CF9AE}" pid="3" name="Creator">
    <vt:lpwstr>Microsoft Office Word</vt:lpwstr>
  </property>
  <property fmtid="{D5CDD505-2E9C-101B-9397-08002B2CF9AE}" pid="4" name="LastSaved">
    <vt:filetime>2025-02-26T00:00:00Z</vt:filetime>
  </property>
  <property fmtid="{D5CDD505-2E9C-101B-9397-08002B2CF9AE}" pid="5" name="KSOTemplateDocerSaveRecord">
    <vt:lpwstr>eyJoZGlkIjoiN2ZlMWVkNmE0ODNiM2U0OWY5MTNiMWY0OTk5NGU3NGUiLCJ1c2VySWQiOiIxMzg2NzY4MTY1In0=</vt:lpwstr>
  </property>
  <property fmtid="{D5CDD505-2E9C-101B-9397-08002B2CF9AE}" pid="6" name="KSOProductBuildVer">
    <vt:lpwstr>2052-12.1.0.19770</vt:lpwstr>
  </property>
  <property fmtid="{D5CDD505-2E9C-101B-9397-08002B2CF9AE}" pid="7" name="ICV">
    <vt:lpwstr>B66F49736EDF49A1BE2B276A2C24FB15_13</vt:lpwstr>
  </property>
</Properties>
</file>