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753B30">
      <w:pPr>
        <w:pStyle w:val="4"/>
        <w:ind w:left="2892"/>
        <w:rPr>
          <w:rFonts w:ascii="Times New Roman"/>
          <w:sz w:val="20"/>
        </w:rPr>
      </w:pPr>
      <w:r>
        <w:pict>
          <v:group id="docshapegroup1" o:spid="_x0000_s1052" o:spt="203" style="position:absolute;left:0pt;margin-left:0.05pt;margin-top:0.05pt;height:791.95pt;width:611.95pt;mso-position-horizontal-relative:page;mso-position-vertical-relative:page;z-index:-251657216;mso-width-relative:page;mso-height-relative:page;" coordorigin="1,1" coordsize="12239,15839">
            <o:lock v:ext="edit"/>
            <v:shape id="docshape2" o:spid="_x0000_s1055" o:spt="75" type="#_x0000_t75" style="position:absolute;left:1;top:1;height:15839;width:12239;" filled="f" o:preferrelative="t" stroked="f" coordsize="21600,21600">
              <v:path/>
              <v:fill on="f" focussize="0,0"/>
              <v:stroke on="f" joinstyle="miter"/>
              <v:imagedata r:id="rId4" o:title=""/>
              <o:lock v:ext="edit" aspectratio="t"/>
            </v:shape>
            <v:shape id="docshape3" o:spid="_x0000_s1054" o:spt="75" type="#_x0000_t75" style="position:absolute;left:2099;top:4168;height:7505;width:7718;" filled="f" o:preferrelative="t" stroked="f" coordsize="21600,21600">
              <v:path/>
              <v:fill on="f" focussize="0,0"/>
              <v:stroke on="f" joinstyle="miter"/>
              <v:imagedata r:id="rId5" o:title=""/>
              <o:lock v:ext="edit" aspectratio="t"/>
            </v:shape>
            <v:rect id="docshape4" o:spid="_x0000_s1053" o:spt="1" style="position:absolute;left:3061;top:988;height:452;width:6267;" stroked="f" coordsize="21600,21600">
              <v:path/>
              <v:fill focussize="0,0"/>
              <v:stroke on="f"/>
              <v:imagedata o:title=""/>
              <o:lock v:ext="edit"/>
            </v:rect>
          </v:group>
        </w:pict>
      </w:r>
      <w:r>
        <w:rPr>
          <w:rFonts w:ascii="Times New Roman"/>
          <w:sz w:val="20"/>
          <w:lang w:val="en-US" w:eastAsia="zh-CN"/>
        </w:rPr>
        <w:drawing>
          <wp:inline distT="0" distB="0" distL="0" distR="0">
            <wp:extent cx="4051935" cy="511810"/>
            <wp:effectExtent l="0" t="0" r="0" b="0"/>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png"/>
                    <pic:cNvPicPr>
                      <a:picLocks noChangeAspect="1"/>
                    </pic:cNvPicPr>
                  </pic:nvPicPr>
                  <pic:blipFill>
                    <a:blip r:embed="rId6" cstate="print"/>
                    <a:stretch>
                      <a:fillRect/>
                    </a:stretch>
                  </pic:blipFill>
                  <pic:spPr>
                    <a:xfrm>
                      <a:off x="0" y="0"/>
                      <a:ext cx="4052341" cy="511968"/>
                    </a:xfrm>
                    <a:prstGeom prst="rect">
                      <a:avLst/>
                    </a:prstGeom>
                  </pic:spPr>
                </pic:pic>
              </a:graphicData>
            </a:graphic>
          </wp:inline>
        </w:drawing>
      </w:r>
    </w:p>
    <w:p w14:paraId="3CD0389E">
      <w:pPr>
        <w:pStyle w:val="2"/>
      </w:pPr>
      <w:r>
        <w:rPr>
          <w:rFonts w:hint="eastAsia" w:ascii="宋体" w:hAnsi="宋体" w:eastAsia="宋体" w:cs="宋体"/>
          <w:color w:val="182952"/>
          <w:lang w:val="en-US" w:eastAsia="zh-CN"/>
        </w:rPr>
        <w:t>有害生物</w:t>
      </w:r>
      <w:r>
        <w:rPr>
          <w:rFonts w:hint="eastAsia" w:ascii="宋体" w:hAnsi="宋体" w:eastAsia="宋体" w:cs="宋体"/>
          <w:color w:val="182952"/>
        </w:rPr>
        <w:t>风险分析股</w:t>
      </w:r>
    </w:p>
    <w:p w14:paraId="1A6A1748">
      <w:pPr>
        <w:pStyle w:val="4"/>
        <w:spacing w:before="11"/>
        <w:rPr>
          <w:rFonts w:ascii="Cambria"/>
          <w:b/>
          <w:sz w:val="26"/>
        </w:rPr>
      </w:pPr>
    </w:p>
    <w:p w14:paraId="2D811962">
      <w:pPr>
        <w:spacing w:before="51" w:line="242" w:lineRule="auto"/>
        <w:ind w:left="1462"/>
        <w:rPr>
          <w:b/>
          <w:i/>
          <w:sz w:val="24"/>
        </w:rPr>
      </w:pPr>
      <w:r>
        <w:rPr>
          <w:b/>
          <w:sz w:val="24"/>
          <w:szCs w:val="24"/>
        </w:rPr>
        <w:t>PR06.</w:t>
      </w:r>
      <w:r>
        <w:rPr>
          <w:rFonts w:hint="eastAsia" w:ascii="微软雅黑" w:hAnsi="微软雅黑" w:eastAsia="微软雅黑" w:cs="微软雅黑"/>
          <w:b/>
          <w:sz w:val="24"/>
          <w:szCs w:val="24"/>
        </w:rPr>
        <w:t>关于管制原产于中国用于种植的大白菜种子（</w:t>
      </w:r>
      <w:r>
        <w:rPr>
          <w:b/>
          <w:sz w:val="24"/>
          <w:szCs w:val="24"/>
        </w:rPr>
        <w:t>Brassica rapa var.pekinensis</w:t>
      </w:r>
      <w:r>
        <w:rPr>
          <w:rFonts w:hint="eastAsia" w:ascii="微软雅黑" w:hAnsi="微软雅黑" w:eastAsia="微软雅黑" w:cs="微软雅黑"/>
          <w:b/>
          <w:sz w:val="24"/>
          <w:szCs w:val="24"/>
        </w:rPr>
        <w:t>）进口的决议草案。</w:t>
      </w:r>
    </w:p>
    <w:p w14:paraId="2A89E37B">
      <w:pPr>
        <w:pStyle w:val="4"/>
        <w:spacing w:before="8"/>
        <w:rPr>
          <w:b/>
          <w:i/>
          <w:sz w:val="23"/>
        </w:rPr>
      </w:pPr>
    </w:p>
    <w:p w14:paraId="19FAB9C4">
      <w:pPr>
        <w:pStyle w:val="2"/>
        <w:tabs>
          <w:tab w:val="left" w:pos="2515"/>
          <w:tab w:val="left" w:pos="3008"/>
          <w:tab w:val="left" w:pos="4136"/>
          <w:tab w:val="left" w:pos="4630"/>
          <w:tab w:val="left" w:pos="5601"/>
          <w:tab w:val="left" w:pos="6093"/>
          <w:tab w:val="left" w:pos="7170"/>
          <w:tab w:val="left" w:pos="8486"/>
          <w:tab w:val="left" w:pos="9086"/>
        </w:tabs>
        <w:spacing w:before="0"/>
        <w:ind w:left="1462" w:right="113"/>
        <w:rPr>
          <w:rFonts w:ascii="Calibri" w:hAnsi="Calibri"/>
        </w:rPr>
      </w:pPr>
      <w:r>
        <w:rPr>
          <w:rFonts w:hint="eastAsia" w:ascii="宋体" w:hAnsi="宋体" w:eastAsia="宋体" w:cs="宋体"/>
        </w:rPr>
        <w:t>国家植物检疫局、植物检疫部门、单位</w:t>
      </w:r>
      <w:r>
        <w:rPr>
          <w:rFonts w:ascii="Calibri" w:hAnsi="Calibri"/>
        </w:rPr>
        <w:tab/>
      </w:r>
      <w:r>
        <w:rPr>
          <w:rFonts w:ascii="Calibri" w:hAnsi="Calibri"/>
          <w:spacing w:val="-5"/>
        </w:rPr>
        <w:t>DE</w:t>
      </w:r>
      <w:r>
        <w:rPr>
          <w:rFonts w:ascii="Calibri" w:hAnsi="Calibri"/>
        </w:rPr>
        <w:tab/>
      </w:r>
      <w:r>
        <w:rPr>
          <w:rFonts w:hint="eastAsia" w:ascii="宋体" w:hAnsi="宋体" w:eastAsia="宋体" w:cs="宋体"/>
        </w:rPr>
        <w:t>分析</w:t>
      </w:r>
      <w:r>
        <w:rPr>
          <w:rFonts w:ascii="Calibri" w:hAnsi="Calibri"/>
        </w:rPr>
        <w:tab/>
      </w:r>
      <w:r>
        <w:rPr>
          <w:rFonts w:ascii="Calibri" w:hAnsi="Calibri"/>
          <w:spacing w:val="-5"/>
        </w:rPr>
        <w:t>DE</w:t>
      </w:r>
      <w:r>
        <w:rPr>
          <w:rFonts w:ascii="Calibri" w:hAnsi="Calibri"/>
        </w:rPr>
        <w:tab/>
      </w:r>
      <w:r>
        <w:rPr>
          <w:rFonts w:hint="eastAsia" w:ascii="宋体" w:hAnsi="宋体" w:eastAsia="宋体" w:cs="宋体"/>
        </w:rPr>
        <w:t>风险</w:t>
      </w:r>
      <w:r>
        <w:rPr>
          <w:rFonts w:ascii="Calibri" w:hAnsi="Calibri"/>
        </w:rPr>
        <w:tab/>
      </w:r>
      <w:r>
        <w:rPr>
          <w:rFonts w:ascii="Calibri" w:hAnsi="Calibri"/>
          <w:spacing w:val="-5"/>
        </w:rPr>
        <w:t>DE</w:t>
      </w:r>
      <w:r>
        <w:rPr>
          <w:rFonts w:ascii="Calibri" w:hAnsi="Calibri"/>
        </w:rPr>
        <w:tab/>
      </w:r>
      <w:r>
        <w:rPr>
          <w:rFonts w:hint="eastAsia" w:ascii="宋体" w:hAnsi="宋体" w:eastAsia="宋体" w:cs="宋体"/>
          <w:lang w:eastAsia="zh-CN"/>
        </w:rPr>
        <w:t>有害生物</w:t>
      </w:r>
      <w:r>
        <w:rPr>
          <w:rFonts w:hint="eastAsia" w:ascii="宋体" w:hAnsi="宋体" w:eastAsia="宋体" w:cs="宋体"/>
        </w:rPr>
        <w:t>。</w:t>
      </w:r>
      <w:r>
        <w:rPr>
          <w:rFonts w:ascii="Calibri" w:hAnsi="Calibri"/>
        </w:rPr>
        <w:tab/>
      </w:r>
      <w:r>
        <w:rPr>
          <w:rFonts w:hint="eastAsia" w:ascii="宋体" w:hAnsi="宋体" w:eastAsia="宋体" w:cs="宋体"/>
        </w:rPr>
        <w:t>建立</w:t>
      </w:r>
      <w:r>
        <w:rPr>
          <w:rFonts w:ascii="Calibri" w:hAnsi="Calibri"/>
        </w:rPr>
        <w:tab/>
      </w:r>
      <w:r>
        <w:rPr>
          <w:rFonts w:hint="eastAsia" w:ascii="宋体" w:hAnsi="宋体" w:eastAsia="宋体" w:cs="宋体"/>
        </w:rPr>
        <w:t>洛斯坎特</w:t>
      </w:r>
      <w:r>
        <w:rPr>
          <w:rFonts w:ascii="Calibri" w:hAnsi="Calibri"/>
        </w:rPr>
        <w:tab/>
      </w:r>
      <w:r>
        <w:rPr>
          <w:rFonts w:hint="eastAsia" w:ascii="宋体" w:hAnsi="宋体" w:eastAsia="宋体" w:cs="宋体"/>
        </w:rPr>
        <w:t>要求</w:t>
      </w:r>
    </w:p>
    <w:p w14:paraId="778A35F3">
      <w:pPr>
        <w:ind w:left="1462"/>
        <w:rPr>
          <w:b/>
          <w:i/>
          <w:sz w:val="24"/>
        </w:rPr>
      </w:pPr>
      <w:r>
        <w:rPr>
          <w:rFonts w:hint="eastAsia" w:ascii="微软雅黑" w:hAnsi="微软雅黑" w:eastAsia="微软雅黑" w:cs="微软雅黑"/>
          <w:b/>
          <w:sz w:val="24"/>
          <w:szCs w:val="24"/>
        </w:rPr>
        <w:t>进口原产于中国的大白菜种子（</w:t>
      </w:r>
      <w:r>
        <w:rPr>
          <w:b/>
          <w:sz w:val="24"/>
          <w:szCs w:val="24"/>
        </w:rPr>
        <w:t>Brassica rapa var.pekinensis</w:t>
      </w:r>
      <w:r>
        <w:rPr>
          <w:rFonts w:hint="eastAsia" w:ascii="微软雅黑" w:hAnsi="微软雅黑" w:eastAsia="微软雅黑" w:cs="微软雅黑"/>
          <w:b/>
          <w:sz w:val="24"/>
          <w:szCs w:val="24"/>
        </w:rPr>
        <w:t>）的植物检疫措施。</w:t>
      </w:r>
    </w:p>
    <w:p w14:paraId="137F9FCE">
      <w:pPr>
        <w:pStyle w:val="4"/>
        <w:rPr>
          <w:b/>
          <w:i/>
        </w:rPr>
      </w:pPr>
    </w:p>
    <w:p w14:paraId="07C20358">
      <w:pPr>
        <w:pStyle w:val="4"/>
        <w:spacing w:before="11"/>
        <w:rPr>
          <w:b/>
          <w:i/>
          <w:sz w:val="23"/>
        </w:rPr>
      </w:pPr>
    </w:p>
    <w:p w14:paraId="13550432">
      <w:pPr>
        <w:pStyle w:val="2"/>
        <w:spacing w:before="1"/>
        <w:ind w:left="3785" w:right="2443"/>
        <w:jc w:val="center"/>
        <w:rPr>
          <w:rFonts w:ascii="Calibri"/>
        </w:rPr>
      </w:pPr>
      <w:r>
        <w:rPr>
          <w:rFonts w:hint="eastAsia" w:ascii="宋体" w:hAnsi="宋体" w:eastAsia="宋体" w:cs="宋体"/>
        </w:rPr>
        <w:t>结果：</w:t>
      </w:r>
    </w:p>
    <w:p w14:paraId="325377B6">
      <w:pPr>
        <w:pStyle w:val="4"/>
        <w:spacing w:before="11"/>
        <w:rPr>
          <w:b/>
          <w:sz w:val="23"/>
        </w:rPr>
      </w:pPr>
    </w:p>
    <w:p w14:paraId="519CF8B1">
      <w:pPr>
        <w:pStyle w:val="10"/>
        <w:numPr>
          <w:ilvl w:val="0"/>
          <w:numId w:val="1"/>
        </w:numPr>
        <w:tabs>
          <w:tab w:val="left" w:pos="2237"/>
          <w:tab w:val="left" w:pos="2238"/>
        </w:tabs>
        <w:spacing w:before="1"/>
        <w:ind w:right="115" w:firstLine="0"/>
        <w:jc w:val="both"/>
        <w:rPr>
          <w:b/>
          <w:sz w:val="24"/>
        </w:rPr>
      </w:pPr>
      <w:r>
        <w:rPr>
          <w:rFonts w:hint="eastAsia" w:ascii="微软雅黑" w:hAnsi="微软雅黑" w:eastAsia="微软雅黑" w:cs="微软雅黑"/>
          <w:sz w:val="24"/>
          <w:szCs w:val="24"/>
        </w:rPr>
        <w:t>于</w:t>
      </w:r>
      <w:r>
        <w:rPr>
          <w:sz w:val="24"/>
          <w:szCs w:val="24"/>
        </w:rPr>
        <w:t>2024</w:t>
      </w:r>
      <w:r>
        <w:rPr>
          <w:rFonts w:hint="eastAsia" w:ascii="微软雅黑" w:hAnsi="微软雅黑" w:eastAsia="微软雅黑" w:cs="微软雅黑"/>
          <w:sz w:val="24"/>
          <w:szCs w:val="24"/>
        </w:rPr>
        <w:t>年</w:t>
      </w:r>
      <w:r>
        <w:rPr>
          <w:sz w:val="24"/>
          <w:szCs w:val="24"/>
        </w:rPr>
        <w:t>12</w:t>
      </w:r>
      <w:r>
        <w:rPr>
          <w:rFonts w:hint="eastAsia" w:ascii="微软雅黑" w:hAnsi="微软雅黑" w:eastAsia="微软雅黑" w:cs="微软雅黑"/>
          <w:sz w:val="24"/>
          <w:szCs w:val="24"/>
        </w:rPr>
        <w:t>月</w:t>
      </w:r>
      <w:r>
        <w:rPr>
          <w:sz w:val="24"/>
          <w:szCs w:val="24"/>
        </w:rPr>
        <w:t>20</w:t>
      </w:r>
      <w:r>
        <w:rPr>
          <w:rFonts w:hint="eastAsia" w:ascii="微软雅黑" w:hAnsi="微软雅黑" w:eastAsia="微软雅黑" w:cs="微软雅黑"/>
          <w:sz w:val="24"/>
          <w:szCs w:val="24"/>
        </w:rPr>
        <w:t>日收到第</w:t>
      </w:r>
      <w:r>
        <w:rPr>
          <w:sz w:val="24"/>
          <w:szCs w:val="24"/>
        </w:rPr>
        <w:t>9493</w:t>
      </w:r>
      <w:r>
        <w:rPr>
          <w:rFonts w:hint="eastAsia" w:ascii="微软雅黑" w:hAnsi="微软雅黑" w:eastAsia="微软雅黑" w:cs="微软雅黑"/>
          <w:sz w:val="24"/>
          <w:szCs w:val="24"/>
        </w:rPr>
        <w:t>号申请，要求对原产于中国的用于种植的大白菜（</w:t>
      </w:r>
      <w:r>
        <w:rPr>
          <w:sz w:val="24"/>
          <w:szCs w:val="24"/>
        </w:rPr>
        <w:t>Brassica rapa var.pekinensis</w:t>
      </w:r>
      <w:r>
        <w:rPr>
          <w:rFonts w:hint="eastAsia" w:ascii="微软雅黑" w:hAnsi="微软雅黑" w:eastAsia="微软雅黑" w:cs="微软雅黑"/>
          <w:sz w:val="24"/>
          <w:szCs w:val="24"/>
        </w:rPr>
        <w:t>）种子的进口建立植物检疫要求。</w:t>
      </w:r>
    </w:p>
    <w:p w14:paraId="3C19FE57">
      <w:pPr>
        <w:pStyle w:val="4"/>
        <w:spacing w:before="7"/>
        <w:rPr>
          <w:b/>
          <w:sz w:val="22"/>
        </w:rPr>
      </w:pPr>
    </w:p>
    <w:p w14:paraId="1203012D">
      <w:pPr>
        <w:pStyle w:val="10"/>
        <w:numPr>
          <w:ilvl w:val="0"/>
          <w:numId w:val="1"/>
        </w:numPr>
        <w:tabs>
          <w:tab w:val="left" w:pos="2182"/>
        </w:tabs>
        <w:ind w:right="115" w:firstLine="0"/>
        <w:jc w:val="both"/>
        <w:rPr>
          <w:sz w:val="24"/>
          <w:lang w:eastAsia="zh-CN"/>
        </w:rPr>
      </w:pPr>
      <w:r>
        <w:rPr>
          <w:rFonts w:hint="eastAsia" w:ascii="微软雅黑" w:hAnsi="微软雅黑" w:eastAsia="微软雅黑" w:cs="微软雅黑"/>
          <w:sz w:val="24"/>
          <w:szCs w:val="24"/>
          <w:lang w:eastAsia="zh-CN"/>
        </w:rPr>
        <w:t>病有害生物风险分析师于</w:t>
      </w:r>
      <w:r>
        <w:rPr>
          <w:sz w:val="24"/>
          <w:szCs w:val="24"/>
          <w:lang w:eastAsia="zh-CN"/>
        </w:rPr>
        <w:t>2025</w:t>
      </w:r>
      <w:r>
        <w:rPr>
          <w:rFonts w:hint="eastAsia" w:ascii="微软雅黑" w:hAnsi="微软雅黑" w:eastAsia="微软雅黑" w:cs="微软雅黑"/>
          <w:sz w:val="24"/>
          <w:szCs w:val="24"/>
          <w:lang w:eastAsia="zh-CN"/>
        </w:rPr>
        <w:t>年</w:t>
      </w:r>
      <w:r>
        <w:rPr>
          <w:sz w:val="24"/>
          <w:szCs w:val="24"/>
          <w:lang w:eastAsia="zh-CN"/>
        </w:rPr>
        <w:t>1</w:t>
      </w:r>
      <w:r>
        <w:rPr>
          <w:rFonts w:hint="eastAsia" w:ascii="微软雅黑" w:hAnsi="微软雅黑" w:eastAsia="微软雅黑" w:cs="微软雅黑"/>
          <w:sz w:val="24"/>
          <w:szCs w:val="24"/>
          <w:lang w:eastAsia="zh-CN"/>
        </w:rPr>
        <w:t>月</w:t>
      </w:r>
      <w:r>
        <w:rPr>
          <w:sz w:val="24"/>
          <w:szCs w:val="24"/>
          <w:lang w:eastAsia="zh-CN"/>
        </w:rPr>
        <w:t>20</w:t>
      </w:r>
      <w:r>
        <w:rPr>
          <w:rFonts w:hint="eastAsia" w:ascii="微软雅黑" w:hAnsi="微软雅黑" w:eastAsia="微软雅黑" w:cs="微软雅黑"/>
          <w:sz w:val="24"/>
          <w:szCs w:val="24"/>
          <w:lang w:eastAsia="zh-CN"/>
        </w:rPr>
        <w:t>日发布了技术报告</w:t>
      </w:r>
      <w:r>
        <w:rPr>
          <w:sz w:val="24"/>
          <w:szCs w:val="24"/>
          <w:lang w:eastAsia="zh-CN"/>
        </w:rPr>
        <w:t>013-2025-CV-ARP-SFE</w:t>
      </w:r>
      <w:r>
        <w:rPr>
          <w:rFonts w:hint="eastAsia" w:ascii="微软雅黑" w:hAnsi="微软雅黑" w:eastAsia="微软雅黑" w:cs="微软雅黑"/>
          <w:sz w:val="24"/>
          <w:szCs w:val="24"/>
          <w:lang w:eastAsia="zh-CN"/>
        </w:rPr>
        <w:t>，其中包含所述产品的病有害生物风险分析技术研究。</w:t>
      </w:r>
    </w:p>
    <w:p w14:paraId="1FC1F9F5">
      <w:pPr>
        <w:pStyle w:val="4"/>
        <w:rPr>
          <w:lang w:eastAsia="zh-CN"/>
        </w:rPr>
      </w:pPr>
    </w:p>
    <w:p w14:paraId="3252C525">
      <w:pPr>
        <w:pStyle w:val="4"/>
        <w:spacing w:before="1"/>
        <w:rPr>
          <w:lang w:eastAsia="zh-CN"/>
        </w:rPr>
      </w:pPr>
    </w:p>
    <w:p w14:paraId="3A529F59">
      <w:pPr>
        <w:pStyle w:val="2"/>
        <w:spacing w:before="1"/>
        <w:ind w:left="3783" w:right="2443"/>
        <w:jc w:val="center"/>
        <w:rPr>
          <w:rFonts w:ascii="Calibri"/>
        </w:rPr>
      </w:pPr>
      <w:r>
        <w:rPr>
          <w:rFonts w:hint="eastAsia" w:ascii="宋体" w:hAnsi="宋体" w:eastAsia="宋体" w:cs="宋体"/>
        </w:rPr>
        <w:t>鉴于：</w:t>
      </w:r>
    </w:p>
    <w:p w14:paraId="29636316">
      <w:pPr>
        <w:pStyle w:val="4"/>
        <w:spacing w:before="11"/>
        <w:rPr>
          <w:b/>
          <w:sz w:val="23"/>
        </w:rPr>
      </w:pPr>
    </w:p>
    <w:p w14:paraId="4967FDB2">
      <w:pPr>
        <w:pStyle w:val="10"/>
        <w:numPr>
          <w:ilvl w:val="0"/>
          <w:numId w:val="2"/>
        </w:numPr>
        <w:tabs>
          <w:tab w:val="left" w:pos="1746"/>
        </w:tabs>
        <w:ind w:right="116" w:hanging="142"/>
        <w:jc w:val="both"/>
        <w:rPr>
          <w:sz w:val="24"/>
          <w:lang w:eastAsia="zh-CN"/>
        </w:rPr>
      </w:pPr>
      <w:r>
        <w:rPr>
          <w:rFonts w:hint="eastAsia" w:ascii="微软雅黑" w:hAnsi="微软雅黑" w:eastAsia="微软雅黑" w:cs="微软雅黑"/>
          <w:sz w:val="24"/>
          <w:szCs w:val="24"/>
          <w:lang w:eastAsia="zh-CN"/>
        </w:rPr>
        <w:t>关于植物检疫。哥斯达黎加共和国《政治宪法》第</w:t>
      </w:r>
      <w:r>
        <w:rPr>
          <w:sz w:val="24"/>
          <w:szCs w:val="24"/>
          <w:lang w:eastAsia="zh-CN"/>
        </w:rPr>
        <w:t>50</w:t>
      </w:r>
      <w:r>
        <w:rPr>
          <w:rFonts w:hint="eastAsia" w:ascii="微软雅黑" w:hAnsi="微软雅黑" w:eastAsia="微软雅黑" w:cs="微软雅黑"/>
          <w:sz w:val="24"/>
          <w:szCs w:val="24"/>
          <w:lang w:eastAsia="zh-CN"/>
        </w:rPr>
        <w:t>条规定，保护公共卫生和农业食品安全是一项社会保障和基本权利，其中规定：</w:t>
      </w:r>
      <w:r>
        <w:rPr>
          <w:sz w:val="24"/>
          <w:szCs w:val="24"/>
          <w:lang w:eastAsia="zh-CN"/>
        </w:rPr>
        <w:t>“</w:t>
      </w:r>
      <w:r>
        <w:rPr>
          <w:rFonts w:hint="eastAsia" w:ascii="微软雅黑" w:hAnsi="微软雅黑" w:eastAsia="微软雅黑" w:cs="微软雅黑"/>
          <w:sz w:val="24"/>
          <w:szCs w:val="24"/>
          <w:lang w:eastAsia="zh-CN"/>
        </w:rPr>
        <w:t>国家应为该国所有居民寻求最大的福祉，组织和刺激生产和最适当的财富分配。每个人都有权享有健康和生态平衡的环境。因此，它有权谴责侵犯这一权利的行为，并要求对所造成的损害进行赔偿。国家应保障、捍卫和维护这一权利。</w:t>
      </w:r>
      <w:r>
        <w:rPr>
          <w:sz w:val="24"/>
          <w:szCs w:val="24"/>
          <w:lang w:eastAsia="zh-CN"/>
        </w:rPr>
        <w:t>[…]</w:t>
      </w:r>
      <w:r>
        <w:rPr>
          <w:rFonts w:hint="eastAsia" w:ascii="微软雅黑" w:hAnsi="微软雅黑" w:eastAsia="微软雅黑" w:cs="微软雅黑"/>
          <w:sz w:val="24"/>
          <w:szCs w:val="24"/>
          <w:lang w:eastAsia="zh-CN"/>
        </w:rPr>
        <w:t>」（高亮显示与原文不符）。</w:t>
      </w:r>
    </w:p>
    <w:p w14:paraId="17FF18B2">
      <w:pPr>
        <w:pStyle w:val="4"/>
        <w:spacing w:before="1"/>
        <w:rPr>
          <w:lang w:eastAsia="zh-CN"/>
        </w:rPr>
      </w:pPr>
    </w:p>
    <w:p w14:paraId="4BF576E4">
      <w:pPr>
        <w:pStyle w:val="10"/>
        <w:numPr>
          <w:ilvl w:val="0"/>
          <w:numId w:val="2"/>
        </w:numPr>
        <w:tabs>
          <w:tab w:val="left" w:pos="1746"/>
        </w:tabs>
        <w:spacing w:before="1"/>
        <w:ind w:left="1745" w:right="117"/>
        <w:jc w:val="both"/>
        <w:rPr>
          <w:sz w:val="24"/>
          <w:lang w:eastAsia="zh-CN"/>
        </w:rPr>
      </w:pPr>
      <w:r>
        <w:rPr>
          <w:rFonts w:hint="eastAsia" w:ascii="微软雅黑" w:hAnsi="微软雅黑" w:eastAsia="微软雅黑" w:cs="微软雅黑"/>
          <w:sz w:val="24"/>
          <w:szCs w:val="24"/>
          <w:lang w:eastAsia="zh-CN"/>
        </w:rPr>
        <w:t>《国际植物保护公约》（哥斯达黎加第</w:t>
      </w:r>
      <w:r>
        <w:rPr>
          <w:sz w:val="24"/>
          <w:szCs w:val="24"/>
          <w:lang w:eastAsia="zh-CN"/>
        </w:rPr>
        <w:t>1970</w:t>
      </w:r>
      <w:r>
        <w:rPr>
          <w:rFonts w:hint="eastAsia" w:ascii="微软雅黑" w:hAnsi="微软雅黑" w:eastAsia="微软雅黑" w:cs="微软雅黑"/>
          <w:sz w:val="24"/>
          <w:szCs w:val="24"/>
          <w:lang w:eastAsia="zh-CN"/>
        </w:rPr>
        <w:t>号法律）（以下简称《植物保护公约》）认识到防治植物和植物产品病有害生物的重要性，以防止其传入和传播。</w:t>
      </w:r>
    </w:p>
    <w:p w14:paraId="4605ADBF">
      <w:pPr>
        <w:pStyle w:val="4"/>
        <w:spacing w:before="11"/>
        <w:rPr>
          <w:sz w:val="23"/>
          <w:lang w:eastAsia="zh-CN"/>
        </w:rPr>
      </w:pPr>
    </w:p>
    <w:p w14:paraId="47FDD943">
      <w:pPr>
        <w:pStyle w:val="3"/>
        <w:spacing w:before="1"/>
        <w:rPr>
          <w:b w:val="0"/>
          <w:lang w:val="pt-PT" w:eastAsia="zh-CN"/>
        </w:rPr>
      </w:pPr>
      <w:r>
        <w:rPr>
          <w:rFonts w:hint="eastAsia"/>
          <w:lang w:val="pt-PT" w:eastAsia="zh-CN"/>
        </w:rPr>
        <w:t>“</w:t>
      </w:r>
      <w:r>
        <w:rPr>
          <w:rFonts w:hint="eastAsia" w:ascii="微软雅黑" w:hAnsi="微软雅黑" w:eastAsia="微软雅黑" w:cs="微软雅黑"/>
          <w:lang w:val="pt-PT" w:eastAsia="zh-CN"/>
        </w:rPr>
        <w:t>第一条。</w:t>
      </w:r>
    </w:p>
    <w:p w14:paraId="48262B08">
      <w:pPr>
        <w:ind w:left="1889"/>
        <w:jc w:val="both"/>
        <w:rPr>
          <w:b/>
          <w:i/>
          <w:sz w:val="24"/>
          <w:lang w:eastAsia="zh-CN"/>
        </w:rPr>
      </w:pPr>
      <w:r>
        <w:rPr>
          <w:rFonts w:hint="eastAsia" w:ascii="微软雅黑" w:hAnsi="微软雅黑" w:eastAsia="微软雅黑" w:cs="微软雅黑"/>
          <w:b/>
          <w:i/>
          <w:sz w:val="24"/>
          <w:szCs w:val="24"/>
          <w:lang w:eastAsia="zh-CN"/>
        </w:rPr>
        <w:t>目的和责任</w:t>
      </w:r>
    </w:p>
    <w:p w14:paraId="4070D568">
      <w:pPr>
        <w:pStyle w:val="4"/>
        <w:ind w:left="1889" w:right="117"/>
        <w:jc w:val="both"/>
        <w:rPr>
          <w:lang w:eastAsia="zh-CN"/>
        </w:rPr>
      </w:pPr>
      <w:r>
        <w:rPr>
          <w:lang w:eastAsia="zh-CN"/>
        </w:rPr>
        <w:t>1.-</w:t>
      </w:r>
      <w:r>
        <w:rPr>
          <w:rFonts w:hint="eastAsia" w:ascii="微软雅黑" w:hAnsi="微软雅黑" w:eastAsia="微软雅黑" w:cs="微软雅黑"/>
          <w:lang w:eastAsia="zh-CN"/>
        </w:rPr>
        <w:t>为了有效和共同采取行动，防止植物和植物产品的病有害生物的传入和传播，并促进防治这些病有害生物的措施，缔约国政府承诺采取本协定规定的立法，技术和行政措施。</w:t>
      </w:r>
    </w:p>
    <w:p w14:paraId="576ADEB4">
      <w:pPr>
        <w:pStyle w:val="4"/>
        <w:rPr>
          <w:sz w:val="20"/>
          <w:lang w:eastAsia="zh-CN"/>
        </w:rPr>
      </w:pPr>
    </w:p>
    <w:p w14:paraId="1FB8180E">
      <w:pPr>
        <w:pStyle w:val="4"/>
        <w:spacing w:before="5"/>
        <w:rPr>
          <w:lang w:eastAsia="zh-CN"/>
        </w:rPr>
      </w:pPr>
      <w:r>
        <w:pict>
          <v:shape id="docshape5" o:spid="_x0000_s1051" o:spt="202" type="#_x0000_t202" style="position:absolute;left:0pt;margin-left:17.1pt;margin-top:16.1pt;height:22.6pt;width:193.05pt;mso-position-horizontal-relative:page;mso-wrap-distance-bottom:0pt;mso-wrap-distance-top:0pt;z-index:-251651072;mso-width-relative:page;mso-height-relative:page;" stroked="f" coordsize="21600,21600">
            <v:path/>
            <v:fill focussize="0,0"/>
            <v:stroke on="f" joinstyle="miter"/>
            <v:imagedata o:title=""/>
            <o:lock v:ext="edit"/>
            <v:textbox inset="0mm,0mm,0mm,0mm">
              <w:txbxContent>
                <w:p w14:paraId="5D4BBB2F">
                  <w:pPr>
                    <w:spacing w:before="73"/>
                    <w:ind w:left="145"/>
                    <w:rPr>
                      <w:rFonts w:ascii="Cambria"/>
                      <w:color w:val="000000"/>
                      <w:sz w:val="20"/>
                    </w:rPr>
                  </w:pPr>
                  <w:r>
                    <w:fldChar w:fldCharType="begin"/>
                  </w:r>
                  <w:r>
                    <w:instrText xml:space="preserve"> HYPERLINK "http://WWW.SFE.GO.CR/" \h </w:instrText>
                  </w:r>
                  <w:r>
                    <w:fldChar w:fldCharType="separate"/>
                  </w:r>
                  <w:r>
                    <w:rPr>
                      <w:rFonts w:ascii="Cambria"/>
                      <w:color w:val="001F5F"/>
                      <w:spacing w:val="-2"/>
                      <w:sz w:val="20"/>
                    </w:rPr>
                    <w:t>WWW.SFE.GO.CR</w:t>
                  </w:r>
                  <w:r>
                    <w:rPr>
                      <w:rFonts w:ascii="Cambria"/>
                      <w:color w:val="001F5F"/>
                      <w:spacing w:val="-2"/>
                      <w:sz w:val="20"/>
                    </w:rPr>
                    <w:fldChar w:fldCharType="end"/>
                  </w:r>
                </w:p>
              </w:txbxContent>
            </v:textbox>
            <w10:wrap type="topAndBottom"/>
          </v:shape>
        </w:pict>
      </w:r>
    </w:p>
    <w:p w14:paraId="22342467">
      <w:pPr>
        <w:rPr>
          <w:lang w:eastAsia="zh-CN"/>
        </w:rPr>
        <w:sectPr>
          <w:type w:val="continuous"/>
          <w:pgSz w:w="12240" w:h="15840"/>
          <w:pgMar w:top="160" w:right="1580" w:bottom="280" w:left="240" w:header="720" w:footer="720" w:gutter="0"/>
          <w:cols w:space="720" w:num="1"/>
        </w:sectPr>
      </w:pPr>
    </w:p>
    <w:p w14:paraId="57D634E7">
      <w:pPr>
        <w:pStyle w:val="4"/>
        <w:ind w:left="2892"/>
        <w:rPr>
          <w:sz w:val="20"/>
        </w:rPr>
      </w:pPr>
      <w:r>
        <w:pict>
          <v:group id="docshapegroup6" o:spid="_x0000_s1047" o:spt="203" style="position:absolute;left:0pt;margin-left:0.05pt;margin-top:0.05pt;height:791.95pt;width:611.95pt;mso-position-horizontal-relative:page;mso-position-vertical-relative:page;z-index:-251656192;mso-width-relative:page;mso-height-relative:page;" coordorigin="1,1" coordsize="12239,15839">
            <o:lock v:ext="edit"/>
            <v:shape id="docshape7" o:spid="_x0000_s1050" o:spt="75" type="#_x0000_t75" style="position:absolute;left:1;top:1;height:15839;width:12239;" filled="f" o:preferrelative="t" stroked="f" coordsize="21600,21600">
              <v:path/>
              <v:fill on="f" focussize="0,0"/>
              <v:stroke on="f" joinstyle="miter"/>
              <v:imagedata r:id="rId4" o:title=""/>
              <o:lock v:ext="edit" aspectratio="t"/>
            </v:shape>
            <v:shape id="docshape8" o:spid="_x0000_s1049" o:spt="75" type="#_x0000_t75" style="position:absolute;left:2099;top:4168;height:7505;width:7718;" filled="f" o:preferrelative="t" stroked="f" coordsize="21600,21600">
              <v:path/>
              <v:fill on="f" focussize="0,0"/>
              <v:stroke on="f" joinstyle="miter"/>
              <v:imagedata r:id="rId5" o:title=""/>
              <o:lock v:ext="edit" aspectratio="t"/>
            </v:shape>
            <v:rect id="docshape9" o:spid="_x0000_s1048" o:spt="1" style="position:absolute;left:3061;top:988;height:452;width:6267;" stroked="f" coordsize="21600,21600">
              <v:path/>
              <v:fill focussize="0,0"/>
              <v:stroke on="f"/>
              <v:imagedata o:title=""/>
              <o:lock v:ext="edit"/>
            </v:rect>
          </v:group>
        </w:pict>
      </w:r>
      <w:r>
        <w:rPr>
          <w:sz w:val="20"/>
          <w:lang w:val="en-US" w:eastAsia="zh-CN"/>
        </w:rPr>
        <w:drawing>
          <wp:inline distT="0" distB="0" distL="0" distR="0">
            <wp:extent cx="4051935" cy="511810"/>
            <wp:effectExtent l="0" t="0" r="0" b="0"/>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pic:cNvPicPr>
                      <a:picLocks noChangeAspect="1"/>
                    </pic:cNvPicPr>
                  </pic:nvPicPr>
                  <pic:blipFill>
                    <a:blip r:embed="rId6" cstate="print"/>
                    <a:stretch>
                      <a:fillRect/>
                    </a:stretch>
                  </pic:blipFill>
                  <pic:spPr>
                    <a:xfrm>
                      <a:off x="0" y="0"/>
                      <a:ext cx="4052341" cy="511968"/>
                    </a:xfrm>
                    <a:prstGeom prst="rect">
                      <a:avLst/>
                    </a:prstGeom>
                  </pic:spPr>
                </pic:pic>
              </a:graphicData>
            </a:graphic>
          </wp:inline>
        </w:drawing>
      </w:r>
    </w:p>
    <w:p w14:paraId="48556625">
      <w:pPr>
        <w:pStyle w:val="2"/>
        <w:rPr>
          <w:lang w:eastAsia="zh-CN"/>
        </w:rPr>
      </w:pPr>
      <w:r>
        <w:rPr>
          <w:rFonts w:hint="eastAsia" w:ascii="宋体" w:hAnsi="宋体" w:eastAsia="宋体" w:cs="宋体"/>
          <w:color w:val="182952"/>
          <w:lang w:eastAsia="zh-CN"/>
        </w:rPr>
        <w:t>有害生物风险分析股</w:t>
      </w:r>
    </w:p>
    <w:p w14:paraId="3C045E51">
      <w:pPr>
        <w:pStyle w:val="4"/>
        <w:spacing w:before="74"/>
        <w:ind w:left="1889" w:right="118"/>
        <w:jc w:val="both"/>
        <w:rPr>
          <w:lang w:eastAsia="zh-CN"/>
        </w:rPr>
      </w:pPr>
      <w:r>
        <w:rPr>
          <w:rFonts w:hint="eastAsia" w:ascii="微软雅黑" w:hAnsi="微软雅黑" w:eastAsia="微软雅黑" w:cs="微软雅黑"/>
          <w:lang w:eastAsia="zh-CN"/>
        </w:rPr>
        <w:t>公约或根据第三条缔结的补充协定。</w:t>
      </w:r>
    </w:p>
    <w:p w14:paraId="2A14DFED">
      <w:pPr>
        <w:pStyle w:val="4"/>
        <w:spacing w:before="2"/>
        <w:rPr>
          <w:lang w:eastAsia="zh-CN"/>
        </w:rPr>
      </w:pPr>
    </w:p>
    <w:p w14:paraId="691ACAD7">
      <w:pPr>
        <w:pStyle w:val="3"/>
        <w:rPr>
          <w:lang w:eastAsia="zh-CN"/>
        </w:rPr>
      </w:pPr>
      <w:r>
        <w:rPr>
          <w:rFonts w:hint="eastAsia" w:ascii="微软雅黑" w:hAnsi="微软雅黑" w:eastAsia="微软雅黑" w:cs="微软雅黑"/>
          <w:lang w:eastAsia="zh-CN"/>
        </w:rPr>
        <w:t>第六条</w:t>
      </w:r>
    </w:p>
    <w:p w14:paraId="784B4D43">
      <w:pPr>
        <w:ind w:left="1889"/>
        <w:jc w:val="both"/>
        <w:rPr>
          <w:b/>
          <w:i/>
          <w:sz w:val="24"/>
          <w:lang w:eastAsia="zh-CN"/>
        </w:rPr>
      </w:pPr>
      <w:r>
        <w:rPr>
          <w:rFonts w:hint="eastAsia" w:ascii="微软雅黑" w:hAnsi="微软雅黑" w:eastAsia="微软雅黑" w:cs="微软雅黑"/>
          <w:b/>
          <w:i/>
          <w:sz w:val="24"/>
          <w:szCs w:val="24"/>
          <w:lang w:eastAsia="zh-CN"/>
        </w:rPr>
        <w:t>进口要求</w:t>
      </w:r>
    </w:p>
    <w:p w14:paraId="1F85FF39">
      <w:pPr>
        <w:pStyle w:val="4"/>
        <w:ind w:left="1889" w:right="120"/>
        <w:jc w:val="both"/>
        <w:rPr>
          <w:lang w:eastAsia="zh-CN"/>
        </w:rPr>
      </w:pPr>
      <w:r>
        <w:rPr>
          <w:lang w:eastAsia="zh-CN"/>
        </w:rPr>
        <w:t>1.-</w:t>
      </w:r>
      <w:r>
        <w:rPr>
          <w:rFonts w:hint="eastAsia" w:ascii="微软雅黑" w:hAnsi="微软雅黑" w:eastAsia="微软雅黑" w:cs="微软雅黑"/>
          <w:lang w:eastAsia="zh-CN"/>
        </w:rPr>
        <w:t>为了防止植物疾病和有害生物传入其领土，缔约国政府应拥有管制植物和植物产品入境的充分权力，并可为此目的：</w:t>
      </w:r>
    </w:p>
    <w:p w14:paraId="6BB8631D">
      <w:pPr>
        <w:pStyle w:val="4"/>
        <w:spacing w:before="11"/>
        <w:rPr>
          <w:sz w:val="23"/>
          <w:lang w:eastAsia="zh-CN"/>
        </w:rPr>
      </w:pPr>
    </w:p>
    <w:p w14:paraId="19B94F10">
      <w:pPr>
        <w:pStyle w:val="10"/>
        <w:numPr>
          <w:ilvl w:val="1"/>
          <w:numId w:val="2"/>
        </w:numPr>
        <w:tabs>
          <w:tab w:val="left" w:pos="2182"/>
        </w:tabs>
        <w:ind w:left="1889" w:right="118" w:firstLine="0"/>
        <w:rPr>
          <w:sz w:val="24"/>
          <w:lang w:eastAsia="zh-CN"/>
        </w:rPr>
      </w:pPr>
      <w:r>
        <w:rPr>
          <w:rFonts w:hint="eastAsia" w:ascii="微软雅黑" w:hAnsi="微软雅黑" w:eastAsia="微软雅黑" w:cs="微软雅黑"/>
          <w:sz w:val="24"/>
          <w:szCs w:val="24"/>
          <w:lang w:eastAsia="zh-CN"/>
        </w:rPr>
        <w:t>对植物和植物产品的进口施加限制或要求；</w:t>
      </w:r>
    </w:p>
    <w:p w14:paraId="1D237894">
      <w:pPr>
        <w:pStyle w:val="4"/>
        <w:rPr>
          <w:lang w:eastAsia="zh-CN"/>
        </w:rPr>
      </w:pPr>
    </w:p>
    <w:p w14:paraId="10540C7D">
      <w:pPr>
        <w:ind w:left="1889" w:right="117"/>
        <w:jc w:val="both"/>
        <w:rPr>
          <w:sz w:val="24"/>
          <w:lang w:eastAsia="zh-CN"/>
        </w:rPr>
      </w:pPr>
      <w:r>
        <w:rPr>
          <w:sz w:val="24"/>
          <w:szCs w:val="24"/>
          <w:lang w:eastAsia="zh-CN"/>
        </w:rPr>
        <w:t>2.-</w:t>
      </w:r>
      <w:r>
        <w:rPr>
          <w:rFonts w:hint="eastAsia" w:ascii="微软雅黑" w:hAnsi="微软雅黑" w:eastAsia="微软雅黑" w:cs="微软雅黑"/>
          <w:sz w:val="24"/>
          <w:szCs w:val="24"/>
          <w:lang w:eastAsia="zh-CN"/>
        </w:rPr>
        <w:t>为了尽量减少国际贸易中可能出现的困难，缔约国政府承诺在下列条件下执行本条第一款所述的规定：（</w:t>
      </w:r>
      <w:r>
        <w:rPr>
          <w:sz w:val="24"/>
          <w:szCs w:val="24"/>
          <w:lang w:eastAsia="zh-CN"/>
        </w:rPr>
        <w:t>……</w:t>
      </w:r>
      <w:r>
        <w:rPr>
          <w:rFonts w:hint="eastAsia" w:ascii="微软雅黑" w:hAnsi="微软雅黑" w:eastAsia="微软雅黑" w:cs="微软雅黑"/>
          <w:sz w:val="24"/>
          <w:szCs w:val="24"/>
          <w:lang w:eastAsia="zh-CN"/>
        </w:rPr>
        <w:t>）</w:t>
      </w:r>
      <w:r>
        <w:rPr>
          <w:sz w:val="24"/>
          <w:szCs w:val="24"/>
          <w:lang w:eastAsia="zh-CN"/>
        </w:rPr>
        <w:t>”</w:t>
      </w:r>
      <w:r>
        <w:rPr>
          <w:rFonts w:hint="eastAsia" w:ascii="微软雅黑" w:hAnsi="微软雅黑" w:eastAsia="微软雅黑" w:cs="微软雅黑"/>
          <w:sz w:val="24"/>
          <w:szCs w:val="24"/>
          <w:lang w:eastAsia="zh-CN"/>
        </w:rPr>
        <w:t>（突出显示与原文不符）</w:t>
      </w:r>
    </w:p>
    <w:p w14:paraId="296AAAFE">
      <w:pPr>
        <w:pStyle w:val="4"/>
        <w:spacing w:before="2"/>
        <w:rPr>
          <w:lang w:eastAsia="zh-CN"/>
        </w:rPr>
      </w:pPr>
    </w:p>
    <w:p w14:paraId="0BFD85B4">
      <w:pPr>
        <w:pStyle w:val="10"/>
        <w:numPr>
          <w:ilvl w:val="0"/>
          <w:numId w:val="2"/>
        </w:numPr>
        <w:tabs>
          <w:tab w:val="left" w:pos="1604"/>
        </w:tabs>
        <w:ind w:left="1320" w:right="114" w:firstLine="0"/>
        <w:jc w:val="both"/>
        <w:rPr>
          <w:sz w:val="24"/>
          <w:lang w:eastAsia="zh-CN"/>
        </w:rPr>
      </w:pPr>
      <w:r>
        <w:rPr>
          <w:rFonts w:hint="eastAsia" w:ascii="微软雅黑" w:hAnsi="微软雅黑" w:eastAsia="微软雅黑" w:cs="微软雅黑"/>
          <w:sz w:val="24"/>
          <w:szCs w:val="24"/>
          <w:lang w:eastAsia="zh-CN"/>
        </w:rPr>
        <w:t>《附件</w:t>
      </w:r>
      <w:r>
        <w:rPr>
          <w:sz w:val="24"/>
          <w:szCs w:val="24"/>
          <w:lang w:eastAsia="zh-CN"/>
        </w:rPr>
        <w:t>1A</w:t>
      </w:r>
      <w:r>
        <w:rPr>
          <w:rFonts w:hint="eastAsia" w:ascii="微软雅黑" w:hAnsi="微软雅黑" w:eastAsia="微软雅黑" w:cs="微软雅黑"/>
          <w:sz w:val="24"/>
          <w:szCs w:val="24"/>
          <w:lang w:eastAsia="zh-CN"/>
        </w:rPr>
        <w:t>：关于实施卫生和植物</w:t>
      </w:r>
      <w:r>
        <w:rPr>
          <w:rFonts w:hint="eastAsia" w:ascii="微软雅黑" w:hAnsi="微软雅黑" w:eastAsia="微软雅黑" w:cs="微软雅黑"/>
          <w:sz w:val="24"/>
          <w:szCs w:val="24"/>
          <w:lang w:val="en-US" w:eastAsia="zh-CN"/>
        </w:rPr>
        <w:t>卫生</w:t>
      </w:r>
      <w:r>
        <w:rPr>
          <w:rFonts w:hint="eastAsia" w:ascii="微软雅黑" w:hAnsi="微软雅黑" w:eastAsia="微软雅黑" w:cs="微软雅黑"/>
          <w:sz w:val="24"/>
          <w:szCs w:val="24"/>
          <w:lang w:eastAsia="zh-CN"/>
        </w:rPr>
        <w:t>措施的协定》（哥斯达黎加第</w:t>
      </w:r>
      <w:r>
        <w:rPr>
          <w:sz w:val="24"/>
          <w:szCs w:val="24"/>
          <w:lang w:eastAsia="zh-CN"/>
        </w:rPr>
        <w:t>7475-D</w:t>
      </w:r>
      <w:r>
        <w:rPr>
          <w:rFonts w:hint="eastAsia" w:ascii="微软雅黑" w:hAnsi="微软雅黑" w:eastAsia="微软雅黑" w:cs="微软雅黑"/>
          <w:sz w:val="24"/>
          <w:szCs w:val="24"/>
          <w:lang w:eastAsia="zh-CN"/>
        </w:rPr>
        <w:t>号法律及其附件</w:t>
      </w:r>
      <w:r>
        <w:rPr>
          <w:sz w:val="24"/>
          <w:szCs w:val="24"/>
          <w:lang w:eastAsia="zh-CN"/>
        </w:rPr>
        <w:t>B</w:t>
      </w:r>
      <w:r>
        <w:rPr>
          <w:rFonts w:hint="eastAsia" w:ascii="微软雅黑" w:hAnsi="微软雅黑" w:eastAsia="微软雅黑" w:cs="微软雅黑"/>
          <w:sz w:val="24"/>
          <w:szCs w:val="24"/>
          <w:lang w:eastAsia="zh-CN"/>
        </w:rPr>
        <w:t>）（以下简称</w:t>
      </w:r>
      <w:r>
        <w:rPr>
          <w:sz w:val="24"/>
          <w:szCs w:val="24"/>
          <w:lang w:eastAsia="zh-CN"/>
        </w:rPr>
        <w:t>AMSF</w:t>
      </w:r>
      <w:r>
        <w:rPr>
          <w:rFonts w:hint="eastAsia" w:ascii="微软雅黑" w:hAnsi="微软雅黑" w:eastAsia="微软雅黑" w:cs="微软雅黑"/>
          <w:sz w:val="24"/>
          <w:szCs w:val="24"/>
          <w:lang w:eastAsia="zh-CN"/>
        </w:rPr>
        <w:t>），它规定，任何成员不得被阻止采取或实施保护人和动物的生命和健康</w:t>
      </w:r>
      <w:r>
        <w:rPr>
          <w:rFonts w:hint="eastAsia" w:ascii="微软雅黑" w:hAnsi="微软雅黑" w:eastAsia="微软雅黑" w:cs="微软雅黑"/>
          <w:sz w:val="24"/>
          <w:szCs w:val="24"/>
          <w:lang w:val="en-US" w:eastAsia="zh-CN"/>
        </w:rPr>
        <w:t>保护植物</w:t>
      </w:r>
      <w:r>
        <w:rPr>
          <w:rFonts w:hint="eastAsia" w:ascii="微软雅黑" w:hAnsi="微软雅黑" w:eastAsia="微软雅黑" w:cs="微软雅黑"/>
          <w:sz w:val="24"/>
          <w:szCs w:val="24"/>
          <w:lang w:eastAsia="zh-CN"/>
        </w:rPr>
        <w:t>所需的措施。</w:t>
      </w:r>
    </w:p>
    <w:p w14:paraId="6BCE162B">
      <w:pPr>
        <w:pStyle w:val="4"/>
        <w:spacing w:before="11"/>
        <w:rPr>
          <w:sz w:val="23"/>
          <w:lang w:eastAsia="zh-CN"/>
        </w:rPr>
      </w:pPr>
    </w:p>
    <w:p w14:paraId="5B428310">
      <w:pPr>
        <w:pStyle w:val="2"/>
        <w:spacing w:before="0"/>
        <w:ind w:left="1745"/>
        <w:rPr>
          <w:rFonts w:ascii="Calibri" w:hAnsi="Calibri"/>
          <w:lang w:eastAsia="zh-CN"/>
        </w:rPr>
      </w:pPr>
      <w:r>
        <w:rPr>
          <w:rFonts w:hint="eastAsia" w:ascii="宋体" w:hAnsi="宋体" w:eastAsia="宋体" w:cs="宋体"/>
          <w:lang w:eastAsia="zh-CN"/>
        </w:rPr>
        <w:t>第</w:t>
      </w:r>
      <w:r>
        <w:rPr>
          <w:rFonts w:ascii="Calibri" w:hAnsi="Calibri"/>
          <w:lang w:eastAsia="zh-CN"/>
        </w:rPr>
        <w:t>2</w:t>
      </w:r>
      <w:r>
        <w:rPr>
          <w:rFonts w:hint="eastAsia" w:ascii="宋体" w:hAnsi="宋体" w:eastAsia="宋体" w:cs="宋体"/>
          <w:lang w:eastAsia="zh-CN"/>
        </w:rPr>
        <w:t>条</w:t>
      </w:r>
    </w:p>
    <w:p w14:paraId="6461CD13">
      <w:pPr>
        <w:pStyle w:val="3"/>
        <w:ind w:left="1745"/>
        <w:jc w:val="left"/>
        <w:rPr>
          <w:lang w:eastAsia="zh-CN"/>
        </w:rPr>
      </w:pPr>
      <w:r>
        <w:rPr>
          <w:rFonts w:hint="eastAsia" w:ascii="微软雅黑" w:hAnsi="微软雅黑" w:eastAsia="微软雅黑" w:cs="微软雅黑"/>
          <w:lang w:eastAsia="zh-CN"/>
        </w:rPr>
        <w:t>基本权利和义务。</w:t>
      </w:r>
    </w:p>
    <w:p w14:paraId="390CD6BD">
      <w:pPr>
        <w:pStyle w:val="4"/>
        <w:rPr>
          <w:b/>
          <w:i/>
          <w:lang w:eastAsia="zh-CN"/>
        </w:rPr>
      </w:pPr>
    </w:p>
    <w:p w14:paraId="024DAD0C">
      <w:pPr>
        <w:pStyle w:val="4"/>
        <w:ind w:left="1745" w:right="120"/>
        <w:jc w:val="both"/>
        <w:rPr>
          <w:lang w:eastAsia="zh-CN"/>
        </w:rPr>
      </w:pPr>
      <w:r>
        <w:rPr>
          <w:lang w:eastAsia="zh-CN"/>
        </w:rPr>
        <w:t>1.</w:t>
      </w:r>
      <w:r>
        <w:rPr>
          <w:rFonts w:hint="eastAsia" w:ascii="微软雅黑" w:hAnsi="微软雅黑" w:eastAsia="微软雅黑" w:cs="微软雅黑"/>
          <w:lang w:eastAsia="zh-CN"/>
        </w:rPr>
        <w:t>成员有权采取必要的卫生和植物检疫措施，以保护人和动物的健康和生命或保</w:t>
      </w:r>
      <w:r>
        <w:rPr>
          <w:rFonts w:hint="eastAsia" w:ascii="微软雅黑" w:hAnsi="微软雅黑" w:eastAsia="微软雅黑" w:cs="微软雅黑"/>
          <w:lang w:val="en-US" w:eastAsia="zh-CN"/>
        </w:rPr>
        <w:t>护</w:t>
      </w:r>
      <w:r>
        <w:rPr>
          <w:rFonts w:hint="eastAsia" w:ascii="微软雅黑" w:hAnsi="微软雅黑" w:eastAsia="微软雅黑" w:cs="微软雅黑"/>
          <w:lang w:eastAsia="zh-CN"/>
        </w:rPr>
        <w:t>植物，但这些措施不与本协定的规定相抵触。</w:t>
      </w:r>
    </w:p>
    <w:p w14:paraId="00D45717">
      <w:pPr>
        <w:pStyle w:val="4"/>
        <w:spacing w:before="2"/>
        <w:rPr>
          <w:lang w:eastAsia="zh-CN"/>
        </w:rPr>
      </w:pPr>
    </w:p>
    <w:p w14:paraId="23816A06">
      <w:pPr>
        <w:pStyle w:val="4"/>
        <w:ind w:left="1745" w:right="113"/>
        <w:jc w:val="both"/>
        <w:rPr>
          <w:lang w:eastAsia="zh-CN"/>
        </w:rPr>
      </w:pPr>
      <w:r>
        <w:rPr>
          <w:lang w:eastAsia="zh-CN"/>
        </w:rPr>
        <w:t>2.-</w:t>
      </w:r>
      <w:r>
        <w:rPr>
          <w:rFonts w:hint="eastAsia" w:ascii="微软雅黑" w:hAnsi="微软雅黑" w:eastAsia="微软雅黑" w:cs="微软雅黑"/>
          <w:lang w:eastAsia="zh-CN"/>
        </w:rPr>
        <w:t>成员应确保任何卫生或植物检疫措施仅在保护人和动物的健康和生命或保护植物所必需的情况下实施，根据第</w:t>
      </w:r>
      <w:r>
        <w:rPr>
          <w:lang w:eastAsia="zh-CN"/>
        </w:rPr>
        <w:t>5</w:t>
      </w:r>
      <w:r>
        <w:rPr>
          <w:rFonts w:hint="eastAsia" w:ascii="微软雅黑" w:hAnsi="微软雅黑" w:eastAsia="微软雅黑" w:cs="微软雅黑"/>
          <w:lang w:eastAsia="zh-CN"/>
        </w:rPr>
        <w:t>条第</w:t>
      </w:r>
      <w:r>
        <w:rPr>
          <w:lang w:eastAsia="zh-CN"/>
        </w:rPr>
        <w:t>7</w:t>
      </w:r>
      <w:r>
        <w:rPr>
          <w:rFonts w:hint="eastAsia" w:ascii="微软雅黑" w:hAnsi="微软雅黑" w:eastAsia="微软雅黑" w:cs="微软雅黑"/>
          <w:lang w:eastAsia="zh-CN"/>
        </w:rPr>
        <w:t>款，它应以科学原则为基础，在没有充分科学证据的情况下不得维持。</w:t>
      </w:r>
    </w:p>
    <w:p w14:paraId="02D501B1">
      <w:pPr>
        <w:pStyle w:val="4"/>
        <w:spacing w:before="11"/>
        <w:rPr>
          <w:sz w:val="23"/>
          <w:lang w:eastAsia="zh-CN"/>
        </w:rPr>
      </w:pPr>
    </w:p>
    <w:p w14:paraId="3509C37B">
      <w:pPr>
        <w:pStyle w:val="3"/>
        <w:spacing w:before="1"/>
        <w:ind w:left="1745" w:right="124"/>
        <w:rPr>
          <w:lang w:eastAsia="zh-CN"/>
        </w:rPr>
      </w:pPr>
      <w:r>
        <w:rPr>
          <w:rFonts w:hint="eastAsia" w:ascii="微软雅黑" w:hAnsi="微软雅黑" w:eastAsia="微软雅黑" w:cs="微软雅黑"/>
          <w:lang w:eastAsia="zh-CN"/>
        </w:rPr>
        <w:t>第</w:t>
      </w:r>
      <w:r>
        <w:rPr>
          <w:lang w:eastAsia="zh-CN"/>
        </w:rPr>
        <w:t>5</w:t>
      </w:r>
      <w:r>
        <w:rPr>
          <w:rFonts w:hint="eastAsia" w:ascii="微软雅黑" w:hAnsi="微软雅黑" w:eastAsia="微软雅黑" w:cs="微软雅黑"/>
          <w:lang w:eastAsia="zh-CN"/>
        </w:rPr>
        <w:t>条。风险评估和确定适当的卫生或植物保护水平</w:t>
      </w:r>
    </w:p>
    <w:p w14:paraId="069D65C0">
      <w:pPr>
        <w:pStyle w:val="4"/>
        <w:spacing w:before="11"/>
        <w:rPr>
          <w:b/>
          <w:i/>
          <w:sz w:val="23"/>
          <w:lang w:eastAsia="zh-CN"/>
        </w:rPr>
      </w:pPr>
    </w:p>
    <w:p w14:paraId="7274207A">
      <w:pPr>
        <w:pStyle w:val="4"/>
        <w:ind w:left="1745" w:right="115"/>
        <w:jc w:val="both"/>
        <w:rPr>
          <w:i/>
          <w:lang w:eastAsia="zh-CN"/>
        </w:rPr>
      </w:pPr>
      <w:r>
        <w:rPr>
          <w:lang w:eastAsia="zh-CN"/>
        </w:rPr>
        <w:t>1.</w:t>
      </w:r>
      <w:r>
        <w:rPr>
          <w:rFonts w:hint="eastAsia" w:ascii="微软雅黑" w:hAnsi="微软雅黑" w:eastAsia="微软雅黑" w:cs="微软雅黑"/>
          <w:lang w:eastAsia="zh-CN"/>
        </w:rPr>
        <w:t>成员应确保其卫生或植物检疫措施基于对人和动物的生命和健康或植物保护的现有风险的适当评估，考虑到有关国际组织制定的风险评估技术。</w:t>
      </w:r>
    </w:p>
    <w:p w14:paraId="650AD88E">
      <w:pPr>
        <w:pStyle w:val="4"/>
        <w:rPr>
          <w:i/>
          <w:sz w:val="20"/>
          <w:lang w:eastAsia="zh-CN"/>
        </w:rPr>
      </w:pPr>
    </w:p>
    <w:p w14:paraId="666AD8A4">
      <w:pPr>
        <w:pStyle w:val="4"/>
        <w:spacing w:before="1"/>
        <w:rPr>
          <w:i/>
          <w:sz w:val="23"/>
          <w:lang w:eastAsia="zh-CN"/>
        </w:rPr>
      </w:pPr>
      <w:r>
        <w:pict>
          <v:shape id="docshape10" o:spid="_x0000_s1046" o:spt="202" type="#_x0000_t202" style="position:absolute;left:0pt;margin-left:17.1pt;margin-top:15.3pt;height:22.6pt;width:193.05pt;mso-position-horizontal-relative:page;mso-wrap-distance-bottom:0pt;mso-wrap-distance-top:0pt;z-index:-251650048;mso-width-relative:page;mso-height-relative:page;" stroked="f" coordsize="21600,21600">
            <v:path/>
            <v:fill focussize="0,0"/>
            <v:stroke on="f" joinstyle="miter"/>
            <v:imagedata o:title=""/>
            <o:lock v:ext="edit"/>
            <v:textbox inset="0mm,0mm,0mm,0mm">
              <w:txbxContent>
                <w:p w14:paraId="2CA520A5">
                  <w:pPr>
                    <w:spacing w:before="73"/>
                    <w:ind w:left="145"/>
                    <w:rPr>
                      <w:rFonts w:ascii="Cambria"/>
                      <w:color w:val="000000"/>
                      <w:sz w:val="20"/>
                    </w:rPr>
                  </w:pPr>
                  <w:r>
                    <w:fldChar w:fldCharType="begin"/>
                  </w:r>
                  <w:r>
                    <w:instrText xml:space="preserve"> HYPERLINK "http://WWW.SFE.GO.CR/" \h </w:instrText>
                  </w:r>
                  <w:r>
                    <w:fldChar w:fldCharType="separate"/>
                  </w:r>
                  <w:r>
                    <w:rPr>
                      <w:rFonts w:ascii="Cambria"/>
                      <w:color w:val="001F5F"/>
                      <w:spacing w:val="-2"/>
                      <w:sz w:val="20"/>
                    </w:rPr>
                    <w:t>WWW.SFE.GO.CR</w:t>
                  </w:r>
                  <w:r>
                    <w:rPr>
                      <w:rFonts w:ascii="Cambria"/>
                      <w:color w:val="001F5F"/>
                      <w:spacing w:val="-2"/>
                      <w:sz w:val="20"/>
                    </w:rPr>
                    <w:fldChar w:fldCharType="end"/>
                  </w:r>
                </w:p>
              </w:txbxContent>
            </v:textbox>
            <w10:wrap type="topAndBottom"/>
          </v:shape>
        </w:pict>
      </w:r>
    </w:p>
    <w:p w14:paraId="6F605899">
      <w:pPr>
        <w:rPr>
          <w:sz w:val="23"/>
          <w:lang w:eastAsia="zh-CN"/>
        </w:rPr>
        <w:sectPr>
          <w:pgSz w:w="12240" w:h="15840"/>
          <w:pgMar w:top="160" w:right="1580" w:bottom="280" w:left="240" w:header="720" w:footer="720" w:gutter="0"/>
          <w:cols w:space="720" w:num="1"/>
        </w:sectPr>
      </w:pPr>
    </w:p>
    <w:p w14:paraId="4B511F5F">
      <w:pPr>
        <w:pStyle w:val="4"/>
        <w:ind w:left="2892"/>
        <w:rPr>
          <w:sz w:val="20"/>
        </w:rPr>
      </w:pPr>
      <w:r>
        <w:pict>
          <v:group id="docshapegroup11" o:spid="_x0000_s1042" o:spt="203" style="position:absolute;left:0pt;margin-left:0.05pt;margin-top:0.05pt;height:791.95pt;width:611.95pt;mso-position-horizontal-relative:page;mso-position-vertical-relative:page;z-index:-251655168;mso-width-relative:page;mso-height-relative:page;" coordorigin="1,1" coordsize="12239,15839">
            <o:lock v:ext="edit"/>
            <v:shape id="docshape12" o:spid="_x0000_s1045" o:spt="75" type="#_x0000_t75" style="position:absolute;left:1;top:1;height:15839;width:12239;" filled="f" o:preferrelative="t" stroked="f" coordsize="21600,21600">
              <v:path/>
              <v:fill on="f" focussize="0,0"/>
              <v:stroke on="f" joinstyle="miter"/>
              <v:imagedata r:id="rId4" o:title=""/>
              <o:lock v:ext="edit" aspectratio="t"/>
            </v:shape>
            <v:shape id="docshape13" o:spid="_x0000_s1044" o:spt="75" type="#_x0000_t75" style="position:absolute;left:2099;top:4168;height:7505;width:7718;" filled="f" o:preferrelative="t" stroked="f" coordsize="21600,21600">
              <v:path/>
              <v:fill on="f" focussize="0,0"/>
              <v:stroke on="f" joinstyle="miter"/>
              <v:imagedata r:id="rId5" o:title=""/>
              <o:lock v:ext="edit" aspectratio="t"/>
            </v:shape>
            <v:rect id="docshape14" o:spid="_x0000_s1043" o:spt="1" style="position:absolute;left:3061;top:988;height:452;width:6267;" stroked="f" coordsize="21600,21600">
              <v:path/>
              <v:fill focussize="0,0"/>
              <v:stroke on="f"/>
              <v:imagedata o:title=""/>
              <o:lock v:ext="edit"/>
            </v:rect>
          </v:group>
        </w:pict>
      </w:r>
      <w:r>
        <w:rPr>
          <w:sz w:val="20"/>
          <w:lang w:val="en-US" w:eastAsia="zh-CN"/>
        </w:rPr>
        <w:drawing>
          <wp:inline distT="0" distB="0" distL="0" distR="0">
            <wp:extent cx="4051935" cy="511810"/>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a:picLocks noChangeAspect="1"/>
                    </pic:cNvPicPr>
                  </pic:nvPicPr>
                  <pic:blipFill>
                    <a:blip r:embed="rId6" cstate="print"/>
                    <a:stretch>
                      <a:fillRect/>
                    </a:stretch>
                  </pic:blipFill>
                  <pic:spPr>
                    <a:xfrm>
                      <a:off x="0" y="0"/>
                      <a:ext cx="4052341" cy="511968"/>
                    </a:xfrm>
                    <a:prstGeom prst="rect">
                      <a:avLst/>
                    </a:prstGeom>
                  </pic:spPr>
                </pic:pic>
              </a:graphicData>
            </a:graphic>
          </wp:inline>
        </w:drawing>
      </w:r>
    </w:p>
    <w:p w14:paraId="47303EE6">
      <w:pPr>
        <w:pStyle w:val="2"/>
        <w:rPr>
          <w:lang w:eastAsia="zh-CN"/>
        </w:rPr>
      </w:pPr>
      <w:r>
        <w:rPr>
          <w:rFonts w:hint="eastAsia" w:ascii="宋体" w:hAnsi="宋体" w:eastAsia="宋体" w:cs="宋体"/>
          <w:color w:val="182952"/>
          <w:lang w:eastAsia="zh-CN"/>
        </w:rPr>
        <w:t>有害生物风险分析股</w:t>
      </w:r>
    </w:p>
    <w:p w14:paraId="4221404B">
      <w:pPr>
        <w:pStyle w:val="4"/>
        <w:spacing w:before="11"/>
        <w:rPr>
          <w:rFonts w:ascii="Cambria"/>
          <w:b/>
          <w:sz w:val="26"/>
          <w:lang w:eastAsia="zh-CN"/>
        </w:rPr>
      </w:pPr>
    </w:p>
    <w:p w14:paraId="20F101D5">
      <w:pPr>
        <w:pStyle w:val="4"/>
        <w:spacing w:before="51"/>
        <w:ind w:left="1745" w:right="119"/>
        <w:jc w:val="both"/>
        <w:rPr>
          <w:lang w:eastAsia="zh-CN"/>
        </w:rPr>
      </w:pPr>
      <w:r>
        <w:rPr>
          <w:lang w:eastAsia="zh-CN"/>
        </w:rPr>
        <w:t>4.</w:t>
      </w:r>
      <w:r>
        <w:rPr>
          <w:rFonts w:hint="eastAsia" w:ascii="微软雅黑" w:hAnsi="微软雅黑" w:eastAsia="微软雅黑" w:cs="微软雅黑"/>
          <w:lang w:eastAsia="zh-CN"/>
        </w:rPr>
        <w:t>在确定适当的卫生或植物保护水平时，成员应考虑到尽量减少对贸易的负面影响的目标。</w:t>
      </w:r>
    </w:p>
    <w:p w14:paraId="1854678D">
      <w:pPr>
        <w:pStyle w:val="4"/>
        <w:spacing w:before="2"/>
        <w:rPr>
          <w:lang w:eastAsia="zh-CN"/>
        </w:rPr>
      </w:pPr>
    </w:p>
    <w:p w14:paraId="678DEC9F">
      <w:pPr>
        <w:pStyle w:val="4"/>
        <w:ind w:left="1745" w:right="119"/>
        <w:jc w:val="both"/>
        <w:rPr>
          <w:lang w:eastAsia="zh-CN"/>
        </w:rPr>
      </w:pPr>
      <w:r>
        <w:rPr>
          <w:lang w:eastAsia="zh-CN"/>
        </w:rPr>
        <w:t>7.</w:t>
      </w:r>
      <w:r>
        <w:rPr>
          <w:rFonts w:hint="eastAsia" w:ascii="微软雅黑" w:hAnsi="微软雅黑" w:eastAsia="微软雅黑" w:cs="微软雅黑"/>
          <w:lang w:eastAsia="zh-CN"/>
        </w:rPr>
        <w:t>在有关科学证据不足的情况下，一成员可根据其掌握的有关资料，包括有关国际组织的资料和其他缔约方实施的卫生或植物检疫措施，采取临时卫生或植物检疫措施。在这种情况下，成员应努力获得更客观的风险评估所需的额外信息，并在合理的时间内相应地审查卫生或植物检疫措施。</w:t>
      </w:r>
    </w:p>
    <w:p w14:paraId="4267EDBF">
      <w:pPr>
        <w:pStyle w:val="4"/>
        <w:spacing w:before="11"/>
        <w:rPr>
          <w:sz w:val="23"/>
          <w:lang w:eastAsia="zh-CN"/>
        </w:rPr>
      </w:pPr>
    </w:p>
    <w:p w14:paraId="56722FAA">
      <w:pPr>
        <w:pStyle w:val="3"/>
        <w:ind w:left="1745" w:right="117"/>
        <w:rPr>
          <w:lang w:eastAsia="zh-CN"/>
        </w:rPr>
      </w:pPr>
      <w:r>
        <w:rPr>
          <w:rFonts w:hint="eastAsia" w:ascii="微软雅黑" w:hAnsi="微软雅黑" w:eastAsia="微软雅黑" w:cs="微软雅黑"/>
          <w:lang w:eastAsia="zh-CN"/>
        </w:rPr>
        <w:t>第</w:t>
      </w:r>
      <w:r>
        <w:rPr>
          <w:lang w:eastAsia="zh-CN"/>
        </w:rPr>
        <w:t>6</w:t>
      </w:r>
      <w:r>
        <w:rPr>
          <w:rFonts w:hint="eastAsia" w:ascii="微软雅黑" w:hAnsi="微软雅黑" w:eastAsia="微软雅黑" w:cs="微软雅黑"/>
          <w:lang w:eastAsia="zh-CN"/>
        </w:rPr>
        <w:t>条。适应区域条件，包括无病有害生物和病有害生物低流行区</w:t>
      </w:r>
    </w:p>
    <w:p w14:paraId="15CB0419">
      <w:pPr>
        <w:pStyle w:val="4"/>
        <w:spacing w:before="2"/>
        <w:rPr>
          <w:b/>
          <w:i/>
          <w:lang w:eastAsia="zh-CN"/>
        </w:rPr>
      </w:pPr>
    </w:p>
    <w:p w14:paraId="31E800D7">
      <w:pPr>
        <w:ind w:left="1745" w:right="118"/>
        <w:jc w:val="both"/>
        <w:rPr>
          <w:sz w:val="24"/>
          <w:lang w:eastAsia="zh-CN"/>
        </w:rPr>
      </w:pPr>
      <w:r>
        <w:rPr>
          <w:i/>
          <w:sz w:val="24"/>
          <w:szCs w:val="24"/>
          <w:lang w:eastAsia="zh-CN"/>
        </w:rPr>
        <w:t>1.</w:t>
      </w:r>
      <w:r>
        <w:rPr>
          <w:rFonts w:hint="eastAsia" w:ascii="微软雅黑" w:hAnsi="微软雅黑" w:eastAsia="微软雅黑" w:cs="微软雅黑"/>
          <w:i/>
          <w:sz w:val="24"/>
          <w:szCs w:val="24"/>
          <w:lang w:eastAsia="zh-CN"/>
        </w:rPr>
        <w:t>成员应确保其卫生或植物检疫措施符合产品原产地和目的地地区的卫生或植物检疫特征，无论其是在一个国家，部分国家或部分或全部国家。在评估一个区域的卫生或植物卫生特性时，成员应特别考虑特定疾病或有害生物的流行程度，根除或控制方案的存在以及主管国际组织可能制定的适当标准或准则。（</w:t>
      </w:r>
      <w:r>
        <w:rPr>
          <w:i/>
          <w:sz w:val="24"/>
          <w:szCs w:val="24"/>
          <w:lang w:eastAsia="zh-CN"/>
        </w:rPr>
        <w:t>…</w:t>
      </w:r>
      <w:r>
        <w:rPr>
          <w:rFonts w:hint="eastAsia" w:ascii="微软雅黑" w:hAnsi="微软雅黑" w:eastAsia="微软雅黑" w:cs="微软雅黑"/>
          <w:i/>
          <w:sz w:val="24"/>
          <w:szCs w:val="24"/>
          <w:lang w:eastAsia="zh-CN"/>
        </w:rPr>
        <w:t>）（突出显示与原件不符）</w:t>
      </w:r>
    </w:p>
    <w:p w14:paraId="4E5314EA">
      <w:pPr>
        <w:pStyle w:val="4"/>
        <w:spacing w:before="11"/>
        <w:rPr>
          <w:sz w:val="23"/>
          <w:lang w:eastAsia="zh-CN"/>
        </w:rPr>
      </w:pPr>
    </w:p>
    <w:p w14:paraId="6DC2F9F1">
      <w:pPr>
        <w:ind w:left="1745"/>
        <w:jc w:val="both"/>
        <w:rPr>
          <w:b/>
          <w:sz w:val="24"/>
          <w:lang w:eastAsia="zh-CN"/>
        </w:rPr>
      </w:pPr>
      <w:r>
        <w:rPr>
          <w:rFonts w:hint="eastAsia" w:ascii="微软雅黑" w:hAnsi="微软雅黑" w:eastAsia="微软雅黑" w:cs="微软雅黑"/>
          <w:b/>
          <w:sz w:val="24"/>
          <w:szCs w:val="24"/>
          <w:lang w:eastAsia="zh-CN"/>
        </w:rPr>
        <w:t>第</w:t>
      </w:r>
      <w:r>
        <w:rPr>
          <w:b/>
          <w:sz w:val="24"/>
          <w:szCs w:val="24"/>
          <w:lang w:eastAsia="zh-CN"/>
        </w:rPr>
        <w:t>7</w:t>
      </w:r>
      <w:r>
        <w:rPr>
          <w:rFonts w:hint="eastAsia" w:ascii="微软雅黑" w:hAnsi="微软雅黑" w:eastAsia="微软雅黑" w:cs="微软雅黑"/>
          <w:b/>
          <w:sz w:val="24"/>
          <w:szCs w:val="24"/>
          <w:lang w:eastAsia="zh-CN"/>
        </w:rPr>
        <w:t>条。透明度</w:t>
      </w:r>
    </w:p>
    <w:p w14:paraId="06A95EF1">
      <w:pPr>
        <w:ind w:left="1745" w:right="122"/>
        <w:jc w:val="both"/>
        <w:rPr>
          <w:i/>
          <w:sz w:val="24"/>
          <w:lang w:eastAsia="zh-CN"/>
        </w:rPr>
      </w:pPr>
      <w:r>
        <w:rPr>
          <w:rFonts w:hint="eastAsia" w:ascii="微软雅黑" w:hAnsi="微软雅黑" w:eastAsia="微软雅黑" w:cs="微软雅黑"/>
          <w:i/>
          <w:sz w:val="24"/>
          <w:szCs w:val="24"/>
          <w:lang w:eastAsia="zh-CN"/>
        </w:rPr>
        <w:t>成员应通知其卫生或植物检疫措施的变更，并应根据附件</w:t>
      </w:r>
      <w:r>
        <w:rPr>
          <w:i/>
          <w:sz w:val="24"/>
          <w:szCs w:val="24"/>
          <w:lang w:eastAsia="zh-CN"/>
        </w:rPr>
        <w:t>B</w:t>
      </w:r>
      <w:r>
        <w:rPr>
          <w:rFonts w:hint="eastAsia" w:ascii="微软雅黑" w:hAnsi="微软雅黑" w:eastAsia="微软雅黑" w:cs="微软雅黑"/>
          <w:i/>
          <w:sz w:val="24"/>
          <w:szCs w:val="24"/>
          <w:lang w:eastAsia="zh-CN"/>
        </w:rPr>
        <w:t>的规定提供有关其卫生或植物检疫措施的信息。</w:t>
      </w:r>
    </w:p>
    <w:p w14:paraId="1C8D9924">
      <w:pPr>
        <w:pStyle w:val="4"/>
        <w:spacing w:before="2"/>
        <w:rPr>
          <w:i/>
          <w:lang w:eastAsia="zh-CN"/>
        </w:rPr>
      </w:pPr>
    </w:p>
    <w:p w14:paraId="581C05B1">
      <w:pPr>
        <w:pStyle w:val="3"/>
        <w:ind w:left="1462"/>
        <w:jc w:val="left"/>
        <w:rPr>
          <w:lang w:eastAsia="zh-CN"/>
        </w:rPr>
      </w:pPr>
      <w:r>
        <w:rPr>
          <w:rFonts w:hint="eastAsia" w:ascii="微软雅黑" w:hAnsi="微软雅黑" w:eastAsia="微软雅黑" w:cs="微软雅黑"/>
          <w:lang w:eastAsia="zh-CN"/>
        </w:rPr>
        <w:t>附件</w:t>
      </w:r>
      <w:r>
        <w:rPr>
          <w:lang w:eastAsia="zh-CN"/>
        </w:rPr>
        <w:t>B.</w:t>
      </w:r>
      <w:r>
        <w:rPr>
          <w:rFonts w:hint="eastAsia" w:ascii="微软雅黑" w:hAnsi="微软雅黑" w:eastAsia="微软雅黑" w:cs="微软雅黑"/>
          <w:lang w:eastAsia="zh-CN"/>
        </w:rPr>
        <w:t>卫生和植物检疫条例的透明度。</w:t>
      </w:r>
    </w:p>
    <w:p w14:paraId="04813C0D">
      <w:pPr>
        <w:ind w:left="1462"/>
        <w:rPr>
          <w:b/>
          <w:i/>
          <w:sz w:val="24"/>
          <w:lang w:eastAsia="zh-CN"/>
        </w:rPr>
      </w:pPr>
      <w:r>
        <w:rPr>
          <w:rFonts w:hint="eastAsia" w:ascii="微软雅黑" w:hAnsi="微软雅黑" w:eastAsia="微软雅黑" w:cs="微软雅黑"/>
          <w:b/>
          <w:i/>
          <w:sz w:val="24"/>
          <w:szCs w:val="24"/>
          <w:lang w:eastAsia="zh-CN"/>
        </w:rPr>
        <w:t>条例的公布</w:t>
      </w:r>
    </w:p>
    <w:p w14:paraId="2B829E2E">
      <w:pPr>
        <w:ind w:left="1462"/>
        <w:rPr>
          <w:i/>
          <w:sz w:val="24"/>
          <w:lang w:eastAsia="zh-CN"/>
        </w:rPr>
      </w:pPr>
      <w:r>
        <w:rPr>
          <w:i/>
          <w:spacing w:val="-5"/>
          <w:sz w:val="24"/>
          <w:lang w:eastAsia="zh-CN"/>
        </w:rPr>
        <w:t>(…)</w:t>
      </w:r>
    </w:p>
    <w:p w14:paraId="4B53616A">
      <w:pPr>
        <w:ind w:left="1462" w:right="114"/>
        <w:jc w:val="both"/>
        <w:rPr>
          <w:i/>
          <w:sz w:val="24"/>
        </w:rPr>
      </w:pPr>
      <w:r>
        <w:rPr>
          <w:i/>
          <w:sz w:val="24"/>
          <w:szCs w:val="24"/>
          <w:lang w:eastAsia="zh-CN"/>
        </w:rPr>
        <w:t>2.-</w:t>
      </w:r>
      <w:r>
        <w:rPr>
          <w:rFonts w:hint="eastAsia" w:ascii="微软雅黑" w:hAnsi="微软雅黑" w:eastAsia="微软雅黑" w:cs="微软雅黑"/>
          <w:i/>
          <w:sz w:val="24"/>
          <w:szCs w:val="24"/>
          <w:lang w:eastAsia="zh-CN"/>
        </w:rPr>
        <w:t>除非紧急情况，成员应规定卫生或植物检疫条例的公布与生效之间的谨慎时间，以便为出口成员，特别是发展中国家成员的生产者提供时间，使其产品和生产方法符合进口成员的要求。</w:t>
      </w:r>
      <w:r>
        <w:rPr>
          <w:rFonts w:hint="eastAsia" w:ascii="微软雅黑" w:hAnsi="微软雅黑" w:eastAsia="微软雅黑" w:cs="微软雅黑"/>
          <w:i/>
          <w:sz w:val="24"/>
          <w:szCs w:val="24"/>
        </w:rPr>
        <w:t>信息服务。</w:t>
      </w:r>
    </w:p>
    <w:p w14:paraId="00C186D3">
      <w:pPr>
        <w:pStyle w:val="4"/>
        <w:spacing w:line="293" w:lineRule="exact"/>
        <w:ind w:left="1462"/>
        <w:jc w:val="both"/>
      </w:pPr>
      <w:r>
        <w:rPr>
          <w:rFonts w:hint="eastAsia" w:ascii="微软雅黑" w:hAnsi="微软雅黑" w:eastAsia="微软雅黑" w:cs="微软雅黑"/>
        </w:rPr>
        <w:t>（</w:t>
      </w:r>
      <w:r>
        <w:t>…</w:t>
      </w:r>
      <w:r>
        <w:rPr>
          <w:rFonts w:hint="eastAsia" w:ascii="微软雅黑" w:hAnsi="微软雅黑" w:eastAsia="微软雅黑" w:cs="微软雅黑"/>
        </w:rPr>
        <w:t>）（突出显示与原件不符）</w:t>
      </w:r>
    </w:p>
    <w:p w14:paraId="7160AEF4">
      <w:pPr>
        <w:pStyle w:val="4"/>
        <w:spacing w:before="11"/>
        <w:rPr>
          <w:sz w:val="23"/>
        </w:rPr>
      </w:pPr>
    </w:p>
    <w:p w14:paraId="553F8E5A">
      <w:pPr>
        <w:pStyle w:val="10"/>
        <w:numPr>
          <w:ilvl w:val="0"/>
          <w:numId w:val="2"/>
        </w:numPr>
        <w:tabs>
          <w:tab w:val="left" w:pos="1714"/>
        </w:tabs>
        <w:ind w:left="1462" w:right="117" w:firstLine="0"/>
        <w:jc w:val="left"/>
        <w:rPr>
          <w:sz w:val="24"/>
          <w:lang w:eastAsia="zh-CN"/>
        </w:rPr>
      </w:pPr>
      <w:r>
        <w:rPr>
          <w:rFonts w:hint="eastAsia" w:ascii="微软雅黑" w:hAnsi="微软雅黑" w:eastAsia="微软雅黑" w:cs="微软雅黑"/>
          <w:sz w:val="24"/>
          <w:szCs w:val="24"/>
          <w:lang w:eastAsia="zh-CN"/>
        </w:rPr>
        <w:t>第</w:t>
      </w:r>
      <w:r>
        <w:rPr>
          <w:sz w:val="24"/>
          <w:szCs w:val="24"/>
          <w:lang w:eastAsia="zh-CN"/>
        </w:rPr>
        <w:t>7664</w:t>
      </w:r>
      <w:r>
        <w:rPr>
          <w:rFonts w:hint="eastAsia" w:ascii="微软雅黑" w:hAnsi="微软雅黑" w:eastAsia="微软雅黑" w:cs="微软雅黑"/>
          <w:sz w:val="24"/>
          <w:szCs w:val="24"/>
          <w:lang w:eastAsia="zh-CN"/>
        </w:rPr>
        <w:t>号植物保护法案是授权公共权力行使</w:t>
      </w:r>
      <w:r>
        <w:rPr>
          <w:sz w:val="24"/>
          <w:szCs w:val="24"/>
          <w:lang w:eastAsia="zh-CN"/>
        </w:rPr>
        <w:t>SFE</w:t>
      </w:r>
      <w:r>
        <w:rPr>
          <w:rFonts w:hint="eastAsia" w:ascii="微软雅黑" w:hAnsi="微软雅黑" w:eastAsia="微软雅黑" w:cs="微软雅黑"/>
          <w:sz w:val="24"/>
          <w:szCs w:val="24"/>
          <w:lang w:eastAsia="zh-CN"/>
        </w:rPr>
        <w:t>的法律框架，规定：</w:t>
      </w:r>
    </w:p>
    <w:p w14:paraId="3BCF728C">
      <w:pPr>
        <w:pStyle w:val="4"/>
        <w:rPr>
          <w:sz w:val="20"/>
          <w:lang w:eastAsia="zh-CN"/>
        </w:rPr>
      </w:pPr>
    </w:p>
    <w:p w14:paraId="42E4A1F0">
      <w:pPr>
        <w:pStyle w:val="4"/>
        <w:rPr>
          <w:sz w:val="20"/>
          <w:lang w:eastAsia="zh-CN"/>
        </w:rPr>
      </w:pPr>
    </w:p>
    <w:p w14:paraId="1A78E286">
      <w:pPr>
        <w:pStyle w:val="4"/>
        <w:spacing w:before="2"/>
        <w:rPr>
          <w:sz w:val="27"/>
          <w:lang w:eastAsia="zh-CN"/>
        </w:rPr>
      </w:pPr>
      <w:r>
        <w:pict>
          <v:shape id="docshape15" o:spid="_x0000_s1041" o:spt="202" type="#_x0000_t202" style="position:absolute;left:0pt;margin-left:17.1pt;margin-top:17.8pt;height:22.6pt;width:193.05pt;mso-position-horizontal-relative:page;mso-wrap-distance-bottom:0pt;mso-wrap-distance-top:0pt;z-index:-251649024;mso-width-relative:page;mso-height-relative:page;" stroked="f" coordsize="21600,21600">
            <v:path/>
            <v:fill focussize="0,0"/>
            <v:stroke on="f" joinstyle="miter"/>
            <v:imagedata o:title=""/>
            <o:lock v:ext="edit"/>
            <v:textbox inset="0mm,0mm,0mm,0mm">
              <w:txbxContent>
                <w:p w14:paraId="3CF24B08">
                  <w:pPr>
                    <w:spacing w:before="73"/>
                    <w:ind w:left="145"/>
                    <w:rPr>
                      <w:rFonts w:ascii="Cambria"/>
                      <w:color w:val="000000"/>
                      <w:sz w:val="20"/>
                    </w:rPr>
                  </w:pPr>
                  <w:r>
                    <w:fldChar w:fldCharType="begin"/>
                  </w:r>
                  <w:r>
                    <w:instrText xml:space="preserve"> HYPERLINK "http://WWW.SFE.GO.CR/" \h </w:instrText>
                  </w:r>
                  <w:r>
                    <w:fldChar w:fldCharType="separate"/>
                  </w:r>
                  <w:r>
                    <w:rPr>
                      <w:rFonts w:ascii="Cambria"/>
                      <w:color w:val="001F5F"/>
                      <w:spacing w:val="-2"/>
                      <w:sz w:val="20"/>
                    </w:rPr>
                    <w:t>WWW.SFE.GO.CR</w:t>
                  </w:r>
                  <w:r>
                    <w:rPr>
                      <w:rFonts w:ascii="Cambria"/>
                      <w:color w:val="001F5F"/>
                      <w:spacing w:val="-2"/>
                      <w:sz w:val="20"/>
                    </w:rPr>
                    <w:fldChar w:fldCharType="end"/>
                  </w:r>
                </w:p>
              </w:txbxContent>
            </v:textbox>
            <w10:wrap type="topAndBottom"/>
          </v:shape>
        </w:pict>
      </w:r>
    </w:p>
    <w:p w14:paraId="28D6D0A2">
      <w:pPr>
        <w:rPr>
          <w:sz w:val="27"/>
          <w:lang w:eastAsia="zh-CN"/>
        </w:rPr>
        <w:sectPr>
          <w:pgSz w:w="12240" w:h="15840"/>
          <w:pgMar w:top="160" w:right="1580" w:bottom="280" w:left="240" w:header="720" w:footer="720" w:gutter="0"/>
          <w:cols w:space="720" w:num="1"/>
        </w:sectPr>
      </w:pPr>
    </w:p>
    <w:p w14:paraId="5D55D40C">
      <w:pPr>
        <w:pStyle w:val="4"/>
        <w:ind w:left="2892"/>
        <w:rPr>
          <w:sz w:val="20"/>
        </w:rPr>
      </w:pPr>
      <w:r>
        <w:pict>
          <v:group id="docshapegroup16" o:spid="_x0000_s1037" o:spt="203" style="position:absolute;left:0pt;margin-left:6.05pt;margin-top:-0.55pt;height:791.95pt;width:611.95pt;mso-position-horizontal-relative:page;mso-position-vertical-relative:page;z-index:-251654144;mso-width-relative:page;mso-height-relative:page;" coordorigin="1,1" coordsize="12239,15839">
            <o:lock v:ext="edit"/>
            <v:shape id="docshape17" o:spid="_x0000_s1040" o:spt="75" type="#_x0000_t75" style="position:absolute;left:1;top:1;height:15839;width:12239;" filled="f" o:preferrelative="t" stroked="f" coordsize="21600,21600">
              <v:path/>
              <v:fill on="f" focussize="0,0"/>
              <v:stroke on="f" joinstyle="miter"/>
              <v:imagedata r:id="rId4" o:title=""/>
              <o:lock v:ext="edit" aspectratio="t"/>
            </v:shape>
            <v:shape id="docshape18" o:spid="_x0000_s1039" o:spt="75" type="#_x0000_t75" style="position:absolute;left:2099;top:4168;height:7505;width:7718;" filled="f" o:preferrelative="t" stroked="f" coordsize="21600,21600">
              <v:path/>
              <v:fill on="f" focussize="0,0"/>
              <v:stroke on="f" joinstyle="miter"/>
              <v:imagedata r:id="rId5" o:title=""/>
              <o:lock v:ext="edit" aspectratio="t"/>
            </v:shape>
            <v:rect id="docshape19" o:spid="_x0000_s1038" o:spt="1" style="position:absolute;left:3061;top:988;height:452;width:6267;" stroked="f" coordsize="21600,21600">
              <v:path/>
              <v:fill focussize="0,0"/>
              <v:stroke on="f"/>
              <v:imagedata o:title=""/>
              <o:lock v:ext="edit"/>
            </v:rect>
          </v:group>
        </w:pict>
      </w:r>
      <w:r>
        <w:rPr>
          <w:sz w:val="20"/>
          <w:lang w:val="en-US" w:eastAsia="zh-CN"/>
        </w:rPr>
        <w:drawing>
          <wp:inline distT="0" distB="0" distL="0" distR="0">
            <wp:extent cx="4051935" cy="511810"/>
            <wp:effectExtent l="0" t="0" r="0" b="0"/>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png"/>
                    <pic:cNvPicPr>
                      <a:picLocks noChangeAspect="1"/>
                    </pic:cNvPicPr>
                  </pic:nvPicPr>
                  <pic:blipFill>
                    <a:blip r:embed="rId6" cstate="print"/>
                    <a:stretch>
                      <a:fillRect/>
                    </a:stretch>
                  </pic:blipFill>
                  <pic:spPr>
                    <a:xfrm>
                      <a:off x="0" y="0"/>
                      <a:ext cx="4052341" cy="511968"/>
                    </a:xfrm>
                    <a:prstGeom prst="rect">
                      <a:avLst/>
                    </a:prstGeom>
                  </pic:spPr>
                </pic:pic>
              </a:graphicData>
            </a:graphic>
          </wp:inline>
        </w:drawing>
      </w:r>
    </w:p>
    <w:p w14:paraId="0C35C988">
      <w:pPr>
        <w:pStyle w:val="2"/>
        <w:rPr>
          <w:lang w:eastAsia="zh-CN"/>
        </w:rPr>
      </w:pPr>
      <w:r>
        <w:rPr>
          <w:rFonts w:hint="eastAsia" w:ascii="宋体" w:hAnsi="宋体" w:eastAsia="宋体" w:cs="宋体"/>
          <w:color w:val="182952"/>
          <w:lang w:val="en-US" w:eastAsia="zh-CN"/>
        </w:rPr>
        <w:t>有害生物</w:t>
      </w:r>
      <w:r>
        <w:rPr>
          <w:rFonts w:hint="eastAsia" w:ascii="宋体" w:hAnsi="宋体" w:eastAsia="宋体" w:cs="宋体"/>
          <w:color w:val="182952"/>
          <w:lang w:eastAsia="zh-CN"/>
        </w:rPr>
        <w:t>风险分析股</w:t>
      </w:r>
    </w:p>
    <w:p w14:paraId="72A6876A">
      <w:pPr>
        <w:spacing w:before="74"/>
        <w:ind w:left="1889" w:right="117" w:firstLine="55"/>
        <w:jc w:val="both"/>
        <w:rPr>
          <w:i/>
          <w:sz w:val="24"/>
          <w:lang w:eastAsia="zh-CN"/>
        </w:rPr>
      </w:pPr>
      <w:r>
        <w:rPr>
          <w:rFonts w:hint="eastAsia"/>
          <w:i/>
          <w:sz w:val="24"/>
          <w:szCs w:val="24"/>
          <w:lang w:eastAsia="zh-CN"/>
        </w:rPr>
        <w:t>“</w:t>
      </w:r>
      <w:r>
        <w:rPr>
          <w:rFonts w:hint="eastAsia" w:ascii="微软雅黑" w:hAnsi="微软雅黑" w:eastAsia="微软雅黑" w:cs="微软雅黑"/>
          <w:i/>
          <w:sz w:val="24"/>
          <w:szCs w:val="24"/>
          <w:lang w:eastAsia="zh-CN"/>
        </w:rPr>
        <w:t>第</w:t>
      </w:r>
      <w:r>
        <w:rPr>
          <w:i/>
          <w:sz w:val="24"/>
          <w:szCs w:val="24"/>
          <w:lang w:eastAsia="zh-CN"/>
        </w:rPr>
        <w:t>1</w:t>
      </w:r>
      <w:r>
        <w:rPr>
          <w:rFonts w:hint="eastAsia" w:ascii="微软雅黑" w:hAnsi="微软雅黑" w:eastAsia="微软雅黑" w:cs="微软雅黑"/>
          <w:i/>
          <w:sz w:val="24"/>
          <w:szCs w:val="24"/>
          <w:lang w:eastAsia="zh-CN"/>
        </w:rPr>
        <w:t>条</w:t>
      </w:r>
      <w:r>
        <w:rPr>
          <w:i/>
          <w:sz w:val="24"/>
          <w:szCs w:val="24"/>
          <w:lang w:eastAsia="zh-CN"/>
        </w:rPr>
        <w:t>-</w:t>
      </w:r>
      <w:r>
        <w:rPr>
          <w:rFonts w:hint="eastAsia" w:ascii="微软雅黑" w:hAnsi="微软雅黑" w:eastAsia="微软雅黑" w:cs="微软雅黑"/>
          <w:i/>
          <w:sz w:val="24"/>
          <w:szCs w:val="24"/>
          <w:lang w:eastAsia="zh-CN"/>
        </w:rPr>
        <w:t>公共利益和强制性。宣布公共利益和强制性，本法及其条例规定的植物保护措施。</w:t>
      </w:r>
    </w:p>
    <w:p w14:paraId="49B7D975">
      <w:pPr>
        <w:pStyle w:val="4"/>
        <w:spacing w:before="2"/>
        <w:rPr>
          <w:i/>
          <w:lang w:eastAsia="zh-CN"/>
        </w:rPr>
      </w:pPr>
    </w:p>
    <w:p w14:paraId="06CE2FEE">
      <w:pPr>
        <w:ind w:left="1889"/>
        <w:rPr>
          <w:i/>
          <w:sz w:val="24"/>
          <w:lang w:eastAsia="zh-CN"/>
        </w:rPr>
      </w:pPr>
      <w:r>
        <w:rPr>
          <w:rFonts w:hint="eastAsia" w:ascii="微软雅黑" w:hAnsi="微软雅黑" w:eastAsia="微软雅黑" w:cs="微软雅黑"/>
          <w:i/>
          <w:sz w:val="24"/>
          <w:szCs w:val="24"/>
          <w:lang w:eastAsia="zh-CN"/>
        </w:rPr>
        <w:t>第</w:t>
      </w:r>
      <w:r>
        <w:rPr>
          <w:i/>
          <w:sz w:val="24"/>
          <w:szCs w:val="24"/>
          <w:lang w:eastAsia="zh-CN"/>
        </w:rPr>
        <w:t>2</w:t>
      </w:r>
      <w:r>
        <w:rPr>
          <w:rFonts w:hint="eastAsia" w:ascii="微软雅黑" w:hAnsi="微软雅黑" w:eastAsia="微软雅黑" w:cs="微软雅黑"/>
          <w:i/>
          <w:sz w:val="24"/>
          <w:szCs w:val="24"/>
          <w:lang w:eastAsia="zh-CN"/>
        </w:rPr>
        <w:t>条</w:t>
      </w:r>
      <w:r>
        <w:rPr>
          <w:i/>
          <w:sz w:val="24"/>
          <w:szCs w:val="24"/>
          <w:lang w:eastAsia="zh-CN"/>
        </w:rPr>
        <w:t>-</w:t>
      </w:r>
      <w:r>
        <w:rPr>
          <w:rFonts w:hint="eastAsia" w:ascii="微软雅黑" w:hAnsi="微软雅黑" w:eastAsia="微软雅黑" w:cs="微软雅黑"/>
          <w:i/>
          <w:sz w:val="24"/>
          <w:szCs w:val="24"/>
          <w:lang w:eastAsia="zh-CN"/>
        </w:rPr>
        <w:t>目标。本法的目的是：</w:t>
      </w:r>
    </w:p>
    <w:p w14:paraId="156F411B">
      <w:pPr>
        <w:pStyle w:val="4"/>
        <w:spacing w:before="12"/>
        <w:rPr>
          <w:i/>
          <w:sz w:val="23"/>
          <w:lang w:eastAsia="zh-CN"/>
        </w:rPr>
      </w:pPr>
    </w:p>
    <w:p w14:paraId="06390531">
      <w:pPr>
        <w:pStyle w:val="10"/>
        <w:numPr>
          <w:ilvl w:val="1"/>
          <w:numId w:val="2"/>
        </w:numPr>
        <w:tabs>
          <w:tab w:val="left" w:pos="2182"/>
        </w:tabs>
        <w:ind w:left="2182" w:hanging="293"/>
        <w:rPr>
          <w:i/>
          <w:sz w:val="24"/>
          <w:lang w:eastAsia="zh-CN"/>
        </w:rPr>
      </w:pPr>
      <w:r>
        <w:rPr>
          <w:rFonts w:hint="eastAsia" w:ascii="微软雅黑" w:hAnsi="微软雅黑" w:eastAsia="微软雅黑" w:cs="微软雅黑"/>
          <w:i/>
          <w:sz w:val="24"/>
          <w:szCs w:val="24"/>
          <w:lang w:eastAsia="zh-CN"/>
        </w:rPr>
        <w:t>保护蔬菜免受有害生物的危害。</w:t>
      </w:r>
    </w:p>
    <w:p w14:paraId="564BC71C">
      <w:pPr>
        <w:pStyle w:val="4"/>
        <w:spacing w:before="11"/>
        <w:rPr>
          <w:i/>
          <w:sz w:val="23"/>
          <w:lang w:eastAsia="zh-CN"/>
        </w:rPr>
      </w:pPr>
    </w:p>
    <w:p w14:paraId="41CCFBA3">
      <w:pPr>
        <w:pStyle w:val="10"/>
        <w:numPr>
          <w:ilvl w:val="1"/>
          <w:numId w:val="2"/>
        </w:numPr>
        <w:tabs>
          <w:tab w:val="left" w:pos="2182"/>
        </w:tabs>
        <w:spacing w:before="1"/>
        <w:ind w:left="1889" w:right="123" w:firstLine="0"/>
        <w:rPr>
          <w:i/>
          <w:sz w:val="24"/>
          <w:lang w:eastAsia="zh-CN"/>
        </w:rPr>
      </w:pPr>
      <w:r>
        <w:rPr>
          <w:rFonts w:hint="eastAsia" w:ascii="微软雅黑" w:hAnsi="微软雅黑" w:eastAsia="微软雅黑" w:cs="微软雅黑"/>
          <w:i/>
          <w:sz w:val="24"/>
          <w:szCs w:val="24"/>
          <w:lang w:eastAsia="zh-CN"/>
        </w:rPr>
        <w:t>避免和防止威胁粮食安全和农业生产中持续经济活动的有害生物的引入和传播。</w:t>
      </w:r>
    </w:p>
    <w:p w14:paraId="479A12FC">
      <w:pPr>
        <w:spacing w:line="293" w:lineRule="exact"/>
        <w:ind w:left="1944"/>
        <w:rPr>
          <w:i/>
          <w:sz w:val="24"/>
          <w:lang w:eastAsia="zh-CN"/>
        </w:rPr>
      </w:pPr>
      <w:r>
        <w:rPr>
          <w:i/>
          <w:spacing w:val="-5"/>
          <w:sz w:val="24"/>
          <w:lang w:eastAsia="zh-CN"/>
        </w:rPr>
        <w:t>(…)</w:t>
      </w:r>
    </w:p>
    <w:p w14:paraId="4137B5EA">
      <w:pPr>
        <w:pStyle w:val="4"/>
        <w:spacing w:before="11"/>
        <w:rPr>
          <w:i/>
          <w:sz w:val="23"/>
          <w:lang w:eastAsia="zh-CN"/>
        </w:rPr>
      </w:pPr>
    </w:p>
    <w:p w14:paraId="78F8787D">
      <w:pPr>
        <w:spacing w:before="1"/>
        <w:ind w:left="1889"/>
        <w:rPr>
          <w:i/>
          <w:sz w:val="24"/>
          <w:lang w:eastAsia="zh-CN"/>
        </w:rPr>
      </w:pPr>
      <w:r>
        <w:rPr>
          <w:rFonts w:hint="eastAsia" w:ascii="微软雅黑" w:hAnsi="微软雅黑" w:eastAsia="微软雅黑" w:cs="微软雅黑"/>
          <w:i/>
          <w:sz w:val="24"/>
          <w:szCs w:val="24"/>
          <w:lang w:eastAsia="zh-CN"/>
        </w:rPr>
        <w:t>第</w:t>
      </w:r>
      <w:r>
        <w:rPr>
          <w:i/>
          <w:sz w:val="24"/>
          <w:szCs w:val="24"/>
          <w:lang w:eastAsia="zh-CN"/>
        </w:rPr>
        <w:t>5</w:t>
      </w:r>
      <w:r>
        <w:rPr>
          <w:rFonts w:hint="eastAsia" w:ascii="微软雅黑" w:hAnsi="微软雅黑" w:eastAsia="微软雅黑" w:cs="微软雅黑"/>
          <w:i/>
          <w:sz w:val="24"/>
          <w:szCs w:val="24"/>
          <w:lang w:eastAsia="zh-CN"/>
        </w:rPr>
        <w:t>条</w:t>
      </w:r>
      <w:r>
        <w:rPr>
          <w:i/>
          <w:sz w:val="24"/>
          <w:szCs w:val="24"/>
          <w:lang w:eastAsia="zh-CN"/>
        </w:rPr>
        <w:t>-</w:t>
      </w:r>
      <w:r>
        <w:rPr>
          <w:rFonts w:hint="eastAsia" w:ascii="微软雅黑" w:hAnsi="微软雅黑" w:eastAsia="微软雅黑" w:cs="微软雅黑"/>
          <w:i/>
          <w:sz w:val="24"/>
          <w:szCs w:val="24"/>
          <w:lang w:eastAsia="zh-CN"/>
        </w:rPr>
        <w:t>职能和义务。国家植物检疫机构应履行以下职能：</w:t>
      </w:r>
    </w:p>
    <w:p w14:paraId="099747F9">
      <w:pPr>
        <w:ind w:left="1889"/>
        <w:rPr>
          <w:i/>
          <w:sz w:val="24"/>
          <w:lang w:eastAsia="zh-CN"/>
        </w:rPr>
      </w:pPr>
      <w:r>
        <w:rPr>
          <w:rFonts w:hint="eastAsia" w:ascii="微软雅黑" w:hAnsi="微软雅黑" w:eastAsia="微软雅黑" w:cs="微软雅黑"/>
          <w:i/>
          <w:sz w:val="24"/>
          <w:szCs w:val="24"/>
          <w:lang w:eastAsia="zh-CN"/>
        </w:rPr>
        <w:t>（</w:t>
      </w:r>
      <w:r>
        <w:rPr>
          <w:i/>
          <w:sz w:val="24"/>
          <w:szCs w:val="24"/>
          <w:lang w:eastAsia="zh-CN"/>
        </w:rPr>
        <w:t>a</w:t>
      </w:r>
      <w:r>
        <w:rPr>
          <w:rFonts w:hint="eastAsia" w:ascii="微软雅黑" w:hAnsi="微软雅黑" w:eastAsia="微软雅黑" w:cs="微软雅黑"/>
          <w:i/>
          <w:sz w:val="24"/>
          <w:szCs w:val="24"/>
          <w:lang w:eastAsia="zh-CN"/>
        </w:rPr>
        <w:t>）确保蔬菜的健康保护。</w:t>
      </w:r>
    </w:p>
    <w:p w14:paraId="67439AEE">
      <w:pPr>
        <w:ind w:left="1889"/>
        <w:rPr>
          <w:i/>
          <w:sz w:val="24"/>
        </w:rPr>
      </w:pPr>
      <w:r>
        <w:rPr>
          <w:i/>
          <w:spacing w:val="-5"/>
          <w:sz w:val="24"/>
        </w:rPr>
        <w:t>(…)</w:t>
      </w:r>
    </w:p>
    <w:p w14:paraId="4BA2EC40">
      <w:pPr>
        <w:pStyle w:val="10"/>
        <w:numPr>
          <w:ilvl w:val="0"/>
          <w:numId w:val="3"/>
        </w:numPr>
        <w:tabs>
          <w:tab w:val="left" w:pos="2183"/>
        </w:tabs>
        <w:spacing w:before="2"/>
        <w:ind w:right="120" w:firstLine="0"/>
        <w:jc w:val="both"/>
        <w:rPr>
          <w:i/>
          <w:sz w:val="24"/>
        </w:rPr>
      </w:pPr>
      <w:r>
        <w:rPr>
          <w:rFonts w:hint="eastAsia" w:ascii="微软雅黑" w:hAnsi="微软雅黑" w:eastAsia="微软雅黑" w:cs="微软雅黑"/>
          <w:i/>
          <w:sz w:val="24"/>
          <w:szCs w:val="24"/>
          <w:lang w:eastAsia="zh-CN"/>
        </w:rPr>
        <w:t>安排并实施技术、法律和行政措施，以避免、预防和延缓新的有害生物在蔬菜中的引入或建立。</w:t>
      </w:r>
      <w:r>
        <w:rPr>
          <w:rFonts w:hint="eastAsia" w:ascii="微软雅黑" w:hAnsi="微软雅黑" w:eastAsia="微软雅黑" w:cs="微软雅黑"/>
          <w:i/>
          <w:sz w:val="24"/>
          <w:szCs w:val="24"/>
        </w:rPr>
        <w:t>（</w:t>
      </w:r>
      <w:r>
        <w:rPr>
          <w:i/>
          <w:sz w:val="24"/>
          <w:szCs w:val="24"/>
        </w:rPr>
        <w:t>…</w:t>
      </w:r>
      <w:r>
        <w:rPr>
          <w:rFonts w:hint="eastAsia" w:ascii="微软雅黑" w:hAnsi="微软雅黑" w:eastAsia="微软雅黑" w:cs="微软雅黑"/>
          <w:i/>
          <w:sz w:val="24"/>
          <w:szCs w:val="24"/>
        </w:rPr>
        <w:t>）</w:t>
      </w:r>
    </w:p>
    <w:p w14:paraId="030FD4CB">
      <w:pPr>
        <w:spacing w:line="292" w:lineRule="exact"/>
        <w:ind w:left="1889"/>
        <w:jc w:val="both"/>
        <w:rPr>
          <w:i/>
          <w:sz w:val="24"/>
          <w:lang w:eastAsia="zh-CN"/>
        </w:rPr>
      </w:pPr>
      <w:r>
        <w:rPr>
          <w:rFonts w:hint="eastAsia" w:ascii="微软雅黑" w:hAnsi="微软雅黑" w:eastAsia="微软雅黑" w:cs="微软雅黑"/>
          <w:i/>
          <w:sz w:val="24"/>
          <w:szCs w:val="24"/>
          <w:lang w:eastAsia="zh-CN"/>
        </w:rPr>
        <w:t>（</w:t>
      </w:r>
      <w:r>
        <w:rPr>
          <w:i/>
          <w:sz w:val="24"/>
          <w:szCs w:val="24"/>
          <w:lang w:eastAsia="zh-CN"/>
        </w:rPr>
        <w:t>i</w:t>
      </w:r>
      <w:r>
        <w:rPr>
          <w:rFonts w:hint="eastAsia" w:ascii="微软雅黑" w:hAnsi="微软雅黑" w:eastAsia="微软雅黑" w:cs="微软雅黑"/>
          <w:i/>
          <w:sz w:val="24"/>
          <w:szCs w:val="24"/>
          <w:lang w:eastAsia="zh-CN"/>
        </w:rPr>
        <w:t>）研究和诊断该国的植物检疫状况。（</w:t>
      </w:r>
      <w:r>
        <w:rPr>
          <w:i/>
          <w:sz w:val="24"/>
          <w:szCs w:val="24"/>
          <w:lang w:eastAsia="zh-CN"/>
        </w:rPr>
        <w:t>...</w:t>
      </w:r>
      <w:r>
        <w:rPr>
          <w:rFonts w:hint="eastAsia" w:ascii="微软雅黑" w:hAnsi="微软雅黑" w:eastAsia="微软雅黑" w:cs="微软雅黑"/>
          <w:i/>
          <w:sz w:val="24"/>
          <w:szCs w:val="24"/>
          <w:lang w:eastAsia="zh-CN"/>
        </w:rPr>
        <w:t>）</w:t>
      </w:r>
    </w:p>
    <w:p w14:paraId="2F6052E8">
      <w:pPr>
        <w:pStyle w:val="4"/>
        <w:spacing w:before="12"/>
        <w:rPr>
          <w:i/>
          <w:sz w:val="23"/>
          <w:lang w:eastAsia="zh-CN"/>
        </w:rPr>
      </w:pPr>
    </w:p>
    <w:p w14:paraId="0041DC3E">
      <w:pPr>
        <w:ind w:left="1889"/>
        <w:rPr>
          <w:i/>
          <w:sz w:val="24"/>
          <w:lang w:eastAsia="zh-CN"/>
        </w:rPr>
      </w:pPr>
      <w:r>
        <w:rPr>
          <w:rFonts w:hint="eastAsia" w:ascii="微软雅黑" w:hAnsi="微软雅黑" w:eastAsia="微软雅黑" w:cs="微软雅黑"/>
          <w:i/>
          <w:sz w:val="24"/>
          <w:szCs w:val="24"/>
          <w:lang w:eastAsia="zh-CN"/>
        </w:rPr>
        <w:t>第</w:t>
      </w:r>
      <w:r>
        <w:rPr>
          <w:i/>
          <w:sz w:val="24"/>
          <w:szCs w:val="24"/>
          <w:lang w:eastAsia="zh-CN"/>
        </w:rPr>
        <w:t>8</w:t>
      </w:r>
      <w:r>
        <w:rPr>
          <w:rFonts w:hint="eastAsia" w:ascii="微软雅黑" w:hAnsi="微软雅黑" w:eastAsia="微软雅黑" w:cs="微软雅黑"/>
          <w:i/>
          <w:sz w:val="24"/>
          <w:szCs w:val="24"/>
          <w:lang w:eastAsia="zh-CN"/>
        </w:rPr>
        <w:t>条</w:t>
      </w:r>
      <w:r>
        <w:rPr>
          <w:i/>
          <w:sz w:val="24"/>
          <w:szCs w:val="24"/>
          <w:lang w:eastAsia="zh-CN"/>
        </w:rPr>
        <w:t>-</w:t>
      </w:r>
      <w:r>
        <w:rPr>
          <w:rFonts w:hint="eastAsia" w:ascii="微软雅黑" w:hAnsi="微软雅黑" w:eastAsia="微软雅黑" w:cs="微软雅黑"/>
          <w:i/>
          <w:sz w:val="24"/>
          <w:szCs w:val="24"/>
          <w:lang w:eastAsia="zh-CN"/>
        </w:rPr>
        <w:t>植物检疫当局的权力。经正式认可的植物检疫当局有权：</w:t>
      </w:r>
    </w:p>
    <w:p w14:paraId="554A58B1">
      <w:pPr>
        <w:spacing w:line="293" w:lineRule="exact"/>
        <w:ind w:left="1889"/>
        <w:rPr>
          <w:i/>
          <w:sz w:val="24"/>
        </w:rPr>
      </w:pPr>
      <w:r>
        <w:rPr>
          <w:i/>
          <w:spacing w:val="-5"/>
          <w:sz w:val="24"/>
        </w:rPr>
        <w:t>(…)</w:t>
      </w:r>
    </w:p>
    <w:p w14:paraId="33190E23">
      <w:pPr>
        <w:pStyle w:val="3"/>
        <w:numPr>
          <w:ilvl w:val="0"/>
          <w:numId w:val="3"/>
        </w:numPr>
        <w:tabs>
          <w:tab w:val="left" w:pos="2095"/>
        </w:tabs>
        <w:ind w:left="2095" w:hanging="206"/>
        <w:rPr>
          <w:lang w:eastAsia="zh-CN"/>
        </w:rPr>
      </w:pPr>
      <w:r>
        <w:rPr>
          <w:rFonts w:hint="eastAsia" w:ascii="微软雅黑" w:hAnsi="微软雅黑" w:eastAsia="微软雅黑" w:cs="微软雅黑"/>
          <w:lang w:eastAsia="zh-CN"/>
        </w:rPr>
        <w:t>签发官方植物检疫文件。</w:t>
      </w:r>
    </w:p>
    <w:p w14:paraId="0F62D6E4">
      <w:pPr>
        <w:pStyle w:val="4"/>
        <w:spacing w:before="12"/>
        <w:rPr>
          <w:b/>
          <w:i/>
          <w:sz w:val="23"/>
          <w:lang w:eastAsia="zh-CN"/>
        </w:rPr>
      </w:pPr>
    </w:p>
    <w:p w14:paraId="5AAC6D82">
      <w:pPr>
        <w:pStyle w:val="10"/>
        <w:numPr>
          <w:ilvl w:val="0"/>
          <w:numId w:val="3"/>
        </w:numPr>
        <w:tabs>
          <w:tab w:val="left" w:pos="2139"/>
        </w:tabs>
        <w:ind w:left="2138" w:hanging="250"/>
        <w:rPr>
          <w:i/>
          <w:sz w:val="24"/>
          <w:lang w:eastAsia="zh-CN"/>
        </w:rPr>
      </w:pPr>
      <w:r>
        <w:rPr>
          <w:rFonts w:hint="eastAsia" w:ascii="微软雅黑" w:hAnsi="微软雅黑" w:eastAsia="微软雅黑" w:cs="微软雅黑"/>
          <w:i/>
          <w:sz w:val="24"/>
          <w:szCs w:val="24"/>
          <w:lang w:eastAsia="zh-CN"/>
        </w:rPr>
        <w:t>确保技术措施的遵守和执行。</w:t>
      </w:r>
    </w:p>
    <w:p w14:paraId="1FF78210">
      <w:pPr>
        <w:ind w:left="1889"/>
        <w:rPr>
          <w:i/>
          <w:sz w:val="24"/>
          <w:lang w:eastAsia="zh-CN"/>
        </w:rPr>
      </w:pPr>
      <w:r>
        <w:rPr>
          <w:i/>
          <w:spacing w:val="-5"/>
          <w:sz w:val="24"/>
          <w:lang w:eastAsia="zh-CN"/>
        </w:rPr>
        <w:t>(…)</w:t>
      </w:r>
    </w:p>
    <w:p w14:paraId="095C3E14">
      <w:pPr>
        <w:pStyle w:val="4"/>
        <w:spacing w:before="11"/>
        <w:rPr>
          <w:i/>
          <w:sz w:val="23"/>
          <w:lang w:eastAsia="zh-CN"/>
        </w:rPr>
      </w:pPr>
    </w:p>
    <w:p w14:paraId="50F365E4">
      <w:pPr>
        <w:spacing w:before="1" w:line="242" w:lineRule="auto"/>
        <w:ind w:left="1889" w:right="118"/>
        <w:jc w:val="both"/>
        <w:rPr>
          <w:i/>
          <w:sz w:val="24"/>
          <w:lang w:eastAsia="zh-CN"/>
        </w:rPr>
      </w:pPr>
      <w:r>
        <w:rPr>
          <w:rFonts w:hint="eastAsia" w:ascii="微软雅黑" w:hAnsi="微软雅黑" w:eastAsia="微软雅黑" w:cs="微软雅黑"/>
          <w:i/>
          <w:sz w:val="24"/>
          <w:szCs w:val="24"/>
          <w:lang w:eastAsia="zh-CN"/>
        </w:rPr>
        <w:t>第</w:t>
      </w:r>
      <w:r>
        <w:rPr>
          <w:i/>
          <w:sz w:val="24"/>
          <w:szCs w:val="24"/>
          <w:lang w:eastAsia="zh-CN"/>
        </w:rPr>
        <w:t>44</w:t>
      </w:r>
      <w:r>
        <w:rPr>
          <w:rFonts w:hint="eastAsia" w:ascii="微软雅黑" w:hAnsi="微软雅黑" w:eastAsia="微软雅黑" w:cs="微软雅黑"/>
          <w:i/>
          <w:sz w:val="24"/>
          <w:szCs w:val="24"/>
          <w:lang w:eastAsia="zh-CN"/>
        </w:rPr>
        <w:t>条。</w:t>
      </w:r>
      <w:r>
        <w:rPr>
          <w:i/>
          <w:sz w:val="24"/>
          <w:szCs w:val="24"/>
          <w:lang w:eastAsia="zh-CN"/>
        </w:rPr>
        <w:t>-</w:t>
      </w:r>
      <w:r>
        <w:rPr>
          <w:rFonts w:hint="eastAsia" w:ascii="微软雅黑" w:hAnsi="微软雅黑" w:eastAsia="微软雅黑" w:cs="微软雅黑"/>
          <w:i/>
          <w:sz w:val="24"/>
          <w:szCs w:val="24"/>
          <w:lang w:eastAsia="zh-CN"/>
        </w:rPr>
        <w:t>措施的性质。根据本法制定的植物检疫和卫生保护措施应：</w:t>
      </w:r>
    </w:p>
    <w:p w14:paraId="2B92A139">
      <w:pPr>
        <w:ind w:left="1889" w:right="125"/>
        <w:jc w:val="both"/>
        <w:rPr>
          <w:i/>
          <w:sz w:val="24"/>
          <w:lang w:eastAsia="zh-CN"/>
        </w:rPr>
      </w:pPr>
      <w:r>
        <w:rPr>
          <w:rFonts w:hint="eastAsia" w:ascii="微软雅黑" w:hAnsi="微软雅黑" w:eastAsia="微软雅黑" w:cs="微软雅黑"/>
          <w:i/>
          <w:sz w:val="24"/>
          <w:szCs w:val="24"/>
          <w:lang w:eastAsia="zh-CN"/>
        </w:rPr>
        <w:t>（</w:t>
      </w:r>
      <w:r>
        <w:rPr>
          <w:i/>
          <w:sz w:val="24"/>
          <w:szCs w:val="24"/>
          <w:lang w:eastAsia="zh-CN"/>
        </w:rPr>
        <w:t>a</w:t>
      </w:r>
      <w:r>
        <w:rPr>
          <w:rFonts w:hint="eastAsia" w:ascii="微软雅黑" w:hAnsi="微软雅黑" w:eastAsia="微软雅黑" w:cs="微软雅黑"/>
          <w:i/>
          <w:sz w:val="24"/>
          <w:szCs w:val="24"/>
          <w:lang w:eastAsia="zh-CN"/>
        </w:rPr>
        <w:t>）以科学原则为基础，并酌情考虑到地理条件和其他相关因素。</w:t>
      </w:r>
    </w:p>
    <w:p w14:paraId="57201FB0">
      <w:pPr>
        <w:pStyle w:val="10"/>
        <w:numPr>
          <w:ilvl w:val="0"/>
          <w:numId w:val="4"/>
        </w:numPr>
        <w:tabs>
          <w:tab w:val="left" w:pos="2158"/>
        </w:tabs>
        <w:ind w:right="119" w:firstLine="0"/>
        <w:jc w:val="both"/>
        <w:rPr>
          <w:i/>
          <w:sz w:val="24"/>
          <w:lang w:eastAsia="zh-CN"/>
        </w:rPr>
      </w:pPr>
      <w:r>
        <w:rPr>
          <w:rFonts w:hint="eastAsia" w:ascii="微软雅黑" w:hAnsi="微软雅黑" w:eastAsia="微软雅黑" w:cs="微软雅黑"/>
          <w:i/>
          <w:sz w:val="24"/>
          <w:szCs w:val="24"/>
          <w:lang w:eastAsia="zh-CN"/>
        </w:rPr>
        <w:t>以不任意或不合理歧视从具有相同或类似条件的国家进口的产品的方式适用</w:t>
      </w:r>
    </w:p>
    <w:p w14:paraId="001E6757">
      <w:pPr>
        <w:pStyle w:val="10"/>
        <w:numPr>
          <w:ilvl w:val="0"/>
          <w:numId w:val="4"/>
        </w:numPr>
        <w:tabs>
          <w:tab w:val="left" w:pos="2139"/>
        </w:tabs>
        <w:ind w:left="2138" w:hanging="250"/>
        <w:jc w:val="both"/>
        <w:rPr>
          <w:sz w:val="24"/>
          <w:lang w:eastAsia="zh-CN"/>
        </w:rPr>
      </w:pPr>
      <w:r>
        <w:rPr>
          <w:rFonts w:hint="eastAsia" w:ascii="微软雅黑" w:hAnsi="微软雅黑" w:eastAsia="微软雅黑" w:cs="微软雅黑"/>
          <w:i/>
          <w:sz w:val="24"/>
          <w:szCs w:val="24"/>
          <w:lang w:eastAsia="zh-CN"/>
        </w:rPr>
        <w:t>以不构成对国际贸易的变相限制的方式实施。</w:t>
      </w:r>
      <w:r>
        <w:rPr>
          <w:i/>
          <w:sz w:val="24"/>
          <w:szCs w:val="24"/>
          <w:lang w:eastAsia="zh-CN"/>
        </w:rPr>
        <w:t>”</w:t>
      </w:r>
      <w:r>
        <w:rPr>
          <w:rFonts w:hint="eastAsia" w:ascii="微软雅黑" w:hAnsi="微软雅黑" w:eastAsia="微软雅黑" w:cs="微软雅黑"/>
          <w:i/>
          <w:sz w:val="24"/>
          <w:szCs w:val="24"/>
          <w:lang w:eastAsia="zh-CN"/>
        </w:rPr>
        <w:t>（突出显示与原始不一致）。</w:t>
      </w:r>
    </w:p>
    <w:p w14:paraId="3C9AA4CC">
      <w:pPr>
        <w:ind w:left="1944"/>
        <w:rPr>
          <w:i/>
          <w:sz w:val="24"/>
          <w:lang w:eastAsia="zh-CN"/>
        </w:rPr>
      </w:pPr>
      <w:r>
        <w:rPr>
          <w:i/>
          <w:spacing w:val="-5"/>
          <w:sz w:val="24"/>
          <w:lang w:eastAsia="zh-CN"/>
        </w:rPr>
        <w:t>(…)</w:t>
      </w:r>
    </w:p>
    <w:p w14:paraId="40B4E401">
      <w:pPr>
        <w:pStyle w:val="4"/>
        <w:spacing w:before="7"/>
        <w:rPr>
          <w:i/>
          <w:sz w:val="23"/>
          <w:lang w:eastAsia="zh-CN"/>
        </w:rPr>
      </w:pPr>
    </w:p>
    <w:p w14:paraId="0F414B81">
      <w:pPr>
        <w:pStyle w:val="3"/>
        <w:jc w:val="left"/>
        <w:rPr>
          <w:lang w:eastAsia="zh-CN"/>
        </w:rPr>
      </w:pPr>
      <w:r>
        <w:rPr>
          <w:rFonts w:hint="eastAsia" w:ascii="微软雅黑" w:hAnsi="微软雅黑" w:eastAsia="微软雅黑" w:cs="微软雅黑"/>
          <w:lang w:eastAsia="zh-CN"/>
        </w:rPr>
        <w:t>第</w:t>
      </w:r>
      <w:r>
        <w:rPr>
          <w:lang w:eastAsia="zh-CN"/>
        </w:rPr>
        <w:t>46</w:t>
      </w:r>
      <w:r>
        <w:rPr>
          <w:rFonts w:hint="eastAsia" w:ascii="微软雅黑" w:hAnsi="微软雅黑" w:eastAsia="微软雅黑" w:cs="微软雅黑"/>
          <w:lang w:eastAsia="zh-CN"/>
        </w:rPr>
        <w:t>条</w:t>
      </w:r>
      <w:r>
        <w:rPr>
          <w:lang w:eastAsia="zh-CN"/>
        </w:rPr>
        <w:t>-</w:t>
      </w:r>
      <w:r>
        <w:rPr>
          <w:rFonts w:hint="eastAsia" w:ascii="微软雅黑" w:hAnsi="微软雅黑" w:eastAsia="微软雅黑" w:cs="微软雅黑"/>
          <w:lang w:eastAsia="zh-CN"/>
        </w:rPr>
        <w:t>经济因素</w:t>
      </w:r>
    </w:p>
    <w:p w14:paraId="1E0D9693">
      <w:pPr>
        <w:spacing w:line="293" w:lineRule="exact"/>
        <w:ind w:left="1889"/>
        <w:rPr>
          <w:i/>
          <w:sz w:val="24"/>
          <w:lang w:eastAsia="zh-CN"/>
        </w:rPr>
      </w:pPr>
      <w:r>
        <w:rPr>
          <w:rFonts w:hint="eastAsia" w:ascii="微软雅黑" w:hAnsi="微软雅黑" w:eastAsia="微软雅黑" w:cs="微软雅黑"/>
          <w:i/>
          <w:sz w:val="24"/>
          <w:szCs w:val="24"/>
          <w:lang w:eastAsia="zh-CN"/>
        </w:rPr>
        <w:t>（</w:t>
      </w:r>
      <w:r>
        <w:rPr>
          <w:i/>
          <w:sz w:val="24"/>
          <w:szCs w:val="24"/>
          <w:lang w:eastAsia="zh-CN"/>
        </w:rPr>
        <w:t>c</w:t>
      </w:r>
      <w:r>
        <w:rPr>
          <w:rFonts w:hint="eastAsia" w:ascii="微软雅黑" w:hAnsi="微软雅黑" w:eastAsia="微软雅黑" w:cs="微软雅黑"/>
          <w:i/>
          <w:sz w:val="24"/>
          <w:szCs w:val="24"/>
          <w:lang w:eastAsia="zh-CN"/>
        </w:rPr>
        <w:t>）其他可能的风险控制方法的成本效益。</w:t>
      </w:r>
    </w:p>
    <w:p w14:paraId="3E0EF628">
      <w:pPr>
        <w:ind w:left="1889"/>
        <w:rPr>
          <w:i/>
          <w:sz w:val="24"/>
          <w:lang w:eastAsia="zh-CN"/>
        </w:rPr>
      </w:pPr>
      <w:r>
        <w:rPr>
          <w:rFonts w:hint="eastAsia" w:ascii="微软雅黑" w:hAnsi="微软雅黑" w:eastAsia="微软雅黑" w:cs="微软雅黑"/>
          <w:i/>
          <w:sz w:val="24"/>
          <w:szCs w:val="24"/>
          <w:lang w:eastAsia="zh-CN"/>
        </w:rPr>
        <w:t>在确定适当的植物保护水平时，该处应考虑到尽量减少对贸易的负面影响的目标。</w:t>
      </w:r>
    </w:p>
    <w:p w14:paraId="3E5438C2">
      <w:pPr>
        <w:pStyle w:val="4"/>
        <w:rPr>
          <w:i/>
          <w:sz w:val="20"/>
          <w:lang w:eastAsia="zh-CN"/>
        </w:rPr>
      </w:pPr>
    </w:p>
    <w:p w14:paraId="38E36EE2">
      <w:pPr>
        <w:pStyle w:val="4"/>
        <w:spacing w:before="2"/>
        <w:rPr>
          <w:i/>
          <w:sz w:val="23"/>
          <w:lang w:eastAsia="zh-CN"/>
        </w:rPr>
      </w:pPr>
      <w:r>
        <w:pict>
          <v:shape id="docshape20" o:spid="_x0000_s1036" o:spt="202" type="#_x0000_t202" style="position:absolute;left:0pt;margin-left:17.1pt;margin-top:15.35pt;height:22.6pt;width:193.05pt;mso-position-horizontal-relative:page;mso-wrap-distance-bottom:0pt;mso-wrap-distance-top:0pt;z-index:-251648000;mso-width-relative:page;mso-height-relative:page;" stroked="f" coordsize="21600,21600">
            <v:path/>
            <v:fill focussize="0,0"/>
            <v:stroke on="f" joinstyle="miter"/>
            <v:imagedata o:title=""/>
            <o:lock v:ext="edit"/>
            <v:textbox inset="0mm,0mm,0mm,0mm">
              <w:txbxContent>
                <w:p w14:paraId="4BEE513A">
                  <w:pPr>
                    <w:spacing w:before="73"/>
                    <w:ind w:left="145"/>
                    <w:rPr>
                      <w:rFonts w:ascii="Cambria"/>
                      <w:color w:val="000000"/>
                      <w:sz w:val="20"/>
                    </w:rPr>
                  </w:pPr>
                  <w:r>
                    <w:fldChar w:fldCharType="begin"/>
                  </w:r>
                  <w:r>
                    <w:instrText xml:space="preserve"> HYPERLINK "http://WWW.SFE.GO.CR/" \h </w:instrText>
                  </w:r>
                  <w:r>
                    <w:fldChar w:fldCharType="separate"/>
                  </w:r>
                  <w:r>
                    <w:rPr>
                      <w:rFonts w:ascii="Cambria"/>
                      <w:color w:val="001F5F"/>
                      <w:spacing w:val="-2"/>
                      <w:sz w:val="20"/>
                    </w:rPr>
                    <w:t>WWW.SFE.GO.CR</w:t>
                  </w:r>
                  <w:r>
                    <w:rPr>
                      <w:rFonts w:ascii="Cambria"/>
                      <w:color w:val="001F5F"/>
                      <w:spacing w:val="-2"/>
                      <w:sz w:val="20"/>
                    </w:rPr>
                    <w:fldChar w:fldCharType="end"/>
                  </w:r>
                </w:p>
              </w:txbxContent>
            </v:textbox>
            <w10:wrap type="topAndBottom"/>
          </v:shape>
        </w:pict>
      </w:r>
    </w:p>
    <w:p w14:paraId="58661A66">
      <w:pPr>
        <w:rPr>
          <w:sz w:val="23"/>
          <w:lang w:eastAsia="zh-CN"/>
        </w:rPr>
        <w:sectPr>
          <w:pgSz w:w="12240" w:h="15840"/>
          <w:pgMar w:top="160" w:right="1580" w:bottom="280" w:left="240" w:header="720" w:footer="720" w:gutter="0"/>
          <w:cols w:space="720" w:num="1"/>
        </w:sectPr>
      </w:pPr>
    </w:p>
    <w:p w14:paraId="46B64260">
      <w:pPr>
        <w:pStyle w:val="4"/>
        <w:ind w:left="2892"/>
        <w:rPr>
          <w:sz w:val="20"/>
        </w:rPr>
      </w:pPr>
      <w:r>
        <w:pict>
          <v:group id="docshapegroup21" o:spid="_x0000_s1032" o:spt="203" style="position:absolute;left:0pt;margin-left:17.45pt;margin-top:6.05pt;height:791.95pt;width:611.95pt;mso-position-horizontal-relative:page;mso-position-vertical-relative:page;z-index:-251653120;mso-width-relative:page;mso-height-relative:page;" coordorigin="1,1" coordsize="12239,15839">
            <o:lock v:ext="edit"/>
            <v:shape id="docshape22" o:spid="_x0000_s1035" o:spt="75" type="#_x0000_t75" style="position:absolute;left:1;top:1;height:15839;width:12239;" filled="f" o:preferrelative="t" stroked="f" coordsize="21600,21600">
              <v:path/>
              <v:fill on="f" focussize="0,0"/>
              <v:stroke on="f" joinstyle="miter"/>
              <v:imagedata r:id="rId4" o:title=""/>
              <o:lock v:ext="edit" aspectratio="t"/>
            </v:shape>
            <v:shape id="docshape23" o:spid="_x0000_s1034" o:spt="75" type="#_x0000_t75" style="position:absolute;left:2099;top:4168;height:7505;width:7718;" filled="f" o:preferrelative="t" stroked="f" coordsize="21600,21600">
              <v:path/>
              <v:fill on="f" focussize="0,0"/>
              <v:stroke on="f" joinstyle="miter"/>
              <v:imagedata r:id="rId5" o:title=""/>
              <o:lock v:ext="edit" aspectratio="t"/>
            </v:shape>
            <v:rect id="docshape24" o:spid="_x0000_s1033" o:spt="1" style="position:absolute;left:3061;top:988;height:452;width:6267;" stroked="f" coordsize="21600,21600">
              <v:path/>
              <v:fill focussize="0,0"/>
              <v:stroke on="f"/>
              <v:imagedata o:title=""/>
              <o:lock v:ext="edit"/>
            </v:rect>
          </v:group>
        </w:pict>
      </w:r>
      <w:r>
        <w:rPr>
          <w:sz w:val="20"/>
          <w:lang w:val="en-US" w:eastAsia="zh-CN"/>
        </w:rPr>
        <w:drawing>
          <wp:inline distT="0" distB="0" distL="0" distR="0">
            <wp:extent cx="4051935" cy="511810"/>
            <wp:effectExtent l="0" t="0" r="0" b="0"/>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3.png"/>
                    <pic:cNvPicPr>
                      <a:picLocks noChangeAspect="1"/>
                    </pic:cNvPicPr>
                  </pic:nvPicPr>
                  <pic:blipFill>
                    <a:blip r:embed="rId6" cstate="print"/>
                    <a:stretch>
                      <a:fillRect/>
                    </a:stretch>
                  </pic:blipFill>
                  <pic:spPr>
                    <a:xfrm>
                      <a:off x="0" y="0"/>
                      <a:ext cx="4052341" cy="511968"/>
                    </a:xfrm>
                    <a:prstGeom prst="rect">
                      <a:avLst/>
                    </a:prstGeom>
                  </pic:spPr>
                </pic:pic>
              </a:graphicData>
            </a:graphic>
          </wp:inline>
        </w:drawing>
      </w:r>
    </w:p>
    <w:p w14:paraId="7CDB62CC">
      <w:pPr>
        <w:pStyle w:val="2"/>
        <w:rPr>
          <w:lang w:eastAsia="zh-CN"/>
        </w:rPr>
      </w:pPr>
      <w:r>
        <w:rPr>
          <w:rFonts w:hint="eastAsia" w:ascii="宋体" w:hAnsi="宋体" w:eastAsia="宋体" w:cs="宋体"/>
          <w:color w:val="182952"/>
          <w:lang w:val="en-US" w:eastAsia="zh-CN"/>
        </w:rPr>
        <w:t>有害生物</w:t>
      </w:r>
      <w:r>
        <w:rPr>
          <w:rFonts w:hint="eastAsia" w:ascii="宋体" w:hAnsi="宋体" w:eastAsia="宋体" w:cs="宋体"/>
          <w:color w:val="182952"/>
          <w:lang w:eastAsia="zh-CN"/>
        </w:rPr>
        <w:t>风险分析股</w:t>
      </w:r>
    </w:p>
    <w:p w14:paraId="3151CCCC">
      <w:pPr>
        <w:spacing w:before="74"/>
        <w:ind w:left="1889" w:right="117"/>
        <w:jc w:val="both"/>
        <w:rPr>
          <w:b/>
          <w:i/>
          <w:sz w:val="24"/>
          <w:lang w:eastAsia="zh-CN"/>
        </w:rPr>
      </w:pPr>
      <w:r>
        <w:rPr>
          <w:rFonts w:hint="eastAsia" w:ascii="微软雅黑" w:hAnsi="微软雅黑" w:eastAsia="微软雅黑" w:cs="微软雅黑"/>
          <w:i/>
          <w:sz w:val="24"/>
          <w:szCs w:val="24"/>
          <w:lang w:eastAsia="zh-CN"/>
        </w:rPr>
        <w:t>在制定或维持植物检疫措施以实现适当水平的植物检疫保护时，应确保这些措施在技术和经济可行性的基础上，不会造成比实现这种保护所需的更大程度的贸易限制。如果有其他限制性较小的措施，在技术和经济上可用，并且有助于实现适当水平的植物保护，则应选择实施该措施。</w:t>
      </w:r>
    </w:p>
    <w:p w14:paraId="16BAAA2A">
      <w:pPr>
        <w:spacing w:before="2"/>
        <w:ind w:left="1889"/>
        <w:rPr>
          <w:i/>
          <w:sz w:val="24"/>
          <w:lang w:eastAsia="zh-CN"/>
        </w:rPr>
      </w:pPr>
      <w:r>
        <w:rPr>
          <w:i/>
          <w:spacing w:val="-5"/>
          <w:sz w:val="24"/>
          <w:lang w:eastAsia="zh-CN"/>
        </w:rPr>
        <w:t>(…)</w:t>
      </w:r>
    </w:p>
    <w:p w14:paraId="4018F226">
      <w:pPr>
        <w:pStyle w:val="4"/>
        <w:spacing w:before="11"/>
        <w:rPr>
          <w:i/>
          <w:sz w:val="23"/>
          <w:lang w:eastAsia="zh-CN"/>
        </w:rPr>
      </w:pPr>
    </w:p>
    <w:p w14:paraId="5A8DCC9A">
      <w:pPr>
        <w:pStyle w:val="4"/>
        <w:ind w:left="1889" w:right="115"/>
        <w:jc w:val="both"/>
        <w:rPr>
          <w:lang w:eastAsia="zh-CN"/>
        </w:rPr>
      </w:pPr>
      <w:r>
        <w:rPr>
          <w:rFonts w:hint="eastAsia" w:ascii="微软雅黑" w:hAnsi="微软雅黑" w:eastAsia="微软雅黑" w:cs="微软雅黑"/>
          <w:lang w:eastAsia="zh-CN"/>
        </w:rPr>
        <w:t>《植物保护法案》（哥斯达黎加第</w:t>
      </w:r>
      <w:r>
        <w:rPr>
          <w:lang w:eastAsia="zh-CN"/>
        </w:rPr>
        <w:t>7664</w:t>
      </w:r>
      <w:r>
        <w:rPr>
          <w:rFonts w:hint="eastAsia" w:ascii="微软雅黑" w:hAnsi="微软雅黑" w:eastAsia="微软雅黑" w:cs="微软雅黑"/>
          <w:lang w:eastAsia="zh-CN"/>
        </w:rPr>
        <w:t>号）宣布，旨在保护植物免受有害生物危害的植物保护措施符合公共利益，具有强制性。避免和防止威胁粮食安全和农业生产中持续经济活动的有害生物的引入和传播，规范蔬菜有害生物的控制，鼓励可持续发展中的有害生物综合管理，以及其他生产性农业方法，允许在不破坏环境的情况下控制有害生物。</w:t>
      </w:r>
    </w:p>
    <w:p w14:paraId="19F65482">
      <w:pPr>
        <w:pStyle w:val="4"/>
        <w:spacing w:before="2"/>
        <w:rPr>
          <w:lang w:eastAsia="zh-CN"/>
        </w:rPr>
      </w:pPr>
    </w:p>
    <w:p w14:paraId="3FA29C67">
      <w:pPr>
        <w:pStyle w:val="10"/>
        <w:numPr>
          <w:ilvl w:val="0"/>
          <w:numId w:val="2"/>
        </w:numPr>
        <w:tabs>
          <w:tab w:val="left" w:pos="1736"/>
        </w:tabs>
        <w:ind w:left="1462" w:right="114" w:firstLine="0"/>
        <w:jc w:val="both"/>
        <w:rPr>
          <w:sz w:val="24"/>
        </w:rPr>
      </w:pPr>
      <w:r>
        <w:rPr>
          <w:rFonts w:hint="eastAsia" w:ascii="微软雅黑" w:hAnsi="微软雅黑" w:eastAsia="微软雅黑" w:cs="微软雅黑"/>
          <w:i/>
          <w:sz w:val="24"/>
          <w:szCs w:val="24"/>
          <w:lang w:eastAsia="zh-CN"/>
        </w:rPr>
        <w:t>第</w:t>
      </w:r>
      <w:r>
        <w:rPr>
          <w:i/>
          <w:sz w:val="24"/>
          <w:szCs w:val="24"/>
          <w:lang w:eastAsia="zh-CN"/>
        </w:rPr>
        <w:t>26647-MEIC-MAG</w:t>
      </w:r>
      <w:r>
        <w:rPr>
          <w:rFonts w:hint="eastAsia" w:ascii="微软雅黑" w:hAnsi="微软雅黑" w:eastAsia="微软雅黑" w:cs="微软雅黑"/>
          <w:i/>
          <w:sz w:val="24"/>
          <w:szCs w:val="24"/>
          <w:lang w:eastAsia="zh-CN"/>
        </w:rPr>
        <w:t>号法令，特别是第</w:t>
      </w:r>
      <w:r>
        <w:rPr>
          <w:i/>
          <w:sz w:val="24"/>
          <w:szCs w:val="24"/>
          <w:lang w:eastAsia="zh-CN"/>
        </w:rPr>
        <w:t>5.9</w:t>
      </w:r>
      <w:r>
        <w:rPr>
          <w:rFonts w:hint="eastAsia" w:ascii="微软雅黑" w:hAnsi="微软雅黑" w:eastAsia="微软雅黑" w:cs="微软雅黑"/>
          <w:i/>
          <w:sz w:val="24"/>
          <w:szCs w:val="24"/>
          <w:lang w:eastAsia="zh-CN"/>
        </w:rPr>
        <w:t>节</w:t>
      </w:r>
      <w:r>
        <w:rPr>
          <w:i/>
          <w:sz w:val="24"/>
          <w:szCs w:val="24"/>
          <w:lang w:eastAsia="zh-CN"/>
        </w:rPr>
        <w:t>[...]</w:t>
      </w:r>
      <w:r>
        <w:rPr>
          <w:rFonts w:hint="eastAsia" w:ascii="微软雅黑" w:hAnsi="微软雅黑" w:eastAsia="微软雅黑" w:cs="微软雅黑"/>
          <w:i/>
          <w:sz w:val="24"/>
          <w:szCs w:val="24"/>
          <w:lang w:eastAsia="zh-CN"/>
        </w:rPr>
        <w:t>任何自然人或法人不得将受植物检疫条例约束的植物、生物控制剂和其他农业用途机构带入该国，除非国家植物检疫部门发布了植物检疫入境要求</w:t>
      </w:r>
      <w:r>
        <w:rPr>
          <w:i/>
          <w:sz w:val="24"/>
          <w:szCs w:val="24"/>
          <w:lang w:eastAsia="zh-CN"/>
        </w:rPr>
        <w:t>[...]</w:t>
      </w:r>
      <w:r>
        <w:rPr>
          <w:rFonts w:hint="eastAsia" w:ascii="微软雅黑" w:hAnsi="微软雅黑" w:eastAsia="微软雅黑" w:cs="微软雅黑"/>
          <w:i/>
          <w:sz w:val="24"/>
          <w:szCs w:val="24"/>
          <w:lang w:eastAsia="zh-CN"/>
        </w:rPr>
        <w:t>。</w:t>
      </w:r>
      <w:r>
        <w:rPr>
          <w:rFonts w:hint="eastAsia" w:ascii="微软雅黑" w:hAnsi="微软雅黑" w:eastAsia="微软雅黑" w:cs="微软雅黑"/>
          <w:i/>
          <w:sz w:val="24"/>
          <w:szCs w:val="24"/>
        </w:rPr>
        <w:t>（突出显示与原始不一致）。</w:t>
      </w:r>
    </w:p>
    <w:p w14:paraId="166EA300">
      <w:pPr>
        <w:pStyle w:val="4"/>
        <w:spacing w:before="11"/>
        <w:rPr>
          <w:sz w:val="23"/>
        </w:rPr>
      </w:pPr>
    </w:p>
    <w:p w14:paraId="1240EF35">
      <w:pPr>
        <w:pStyle w:val="10"/>
        <w:numPr>
          <w:ilvl w:val="0"/>
          <w:numId w:val="2"/>
        </w:numPr>
        <w:tabs>
          <w:tab w:val="left" w:pos="1748"/>
        </w:tabs>
        <w:ind w:left="1462" w:right="117" w:firstLine="0"/>
        <w:jc w:val="both"/>
        <w:rPr>
          <w:sz w:val="24"/>
          <w:lang w:eastAsia="zh-CN"/>
        </w:rPr>
      </w:pPr>
      <w:r>
        <w:rPr>
          <w:rFonts w:hint="eastAsia" w:ascii="微软雅黑" w:hAnsi="微软雅黑" w:eastAsia="微软雅黑" w:cs="微软雅黑"/>
          <w:sz w:val="24"/>
          <w:szCs w:val="24"/>
          <w:lang w:eastAsia="zh-CN"/>
        </w:rPr>
        <w:t>第</w:t>
      </w:r>
      <w:r>
        <w:rPr>
          <w:sz w:val="24"/>
          <w:szCs w:val="24"/>
          <w:lang w:eastAsia="zh-CN"/>
        </w:rPr>
        <w:t>36801-MAG</w:t>
      </w:r>
      <w:r>
        <w:rPr>
          <w:rFonts w:hint="eastAsia" w:ascii="微软雅黑" w:hAnsi="微软雅黑" w:eastAsia="微软雅黑" w:cs="微软雅黑"/>
          <w:sz w:val="24"/>
          <w:szCs w:val="24"/>
          <w:lang w:eastAsia="zh-CN"/>
        </w:rPr>
        <w:t>号法令，第</w:t>
      </w:r>
      <w:r>
        <w:rPr>
          <w:sz w:val="24"/>
          <w:szCs w:val="24"/>
          <w:lang w:eastAsia="zh-CN"/>
        </w:rPr>
        <w:t>35</w:t>
      </w:r>
      <w:r>
        <w:rPr>
          <w:rFonts w:hint="eastAsia" w:ascii="微软雅黑" w:hAnsi="微软雅黑" w:eastAsia="微软雅黑" w:cs="微软雅黑"/>
          <w:sz w:val="24"/>
          <w:szCs w:val="24"/>
          <w:lang w:eastAsia="zh-CN"/>
        </w:rPr>
        <w:t>条国家植物检疫总局组织结构条例有害生物风险分析股，负责规定受管制物品进口的植物检疫要求。</w:t>
      </w:r>
    </w:p>
    <w:p w14:paraId="180BC70D">
      <w:pPr>
        <w:pStyle w:val="4"/>
        <w:rPr>
          <w:lang w:eastAsia="zh-CN"/>
        </w:rPr>
      </w:pPr>
    </w:p>
    <w:p w14:paraId="1BD7B3EA">
      <w:pPr>
        <w:pStyle w:val="2"/>
        <w:spacing w:before="0"/>
        <w:ind w:left="4697"/>
        <w:rPr>
          <w:rFonts w:ascii="Calibri"/>
        </w:rPr>
      </w:pPr>
      <w:r>
        <w:rPr>
          <w:rFonts w:hint="eastAsia" w:ascii="宋体" w:hAnsi="宋体" w:eastAsia="宋体" w:cs="宋体"/>
        </w:rPr>
        <w:t>因此，</w:t>
      </w:r>
      <w:r>
        <w:rPr>
          <w:rFonts w:hint="eastAsia" w:ascii="宋体" w:hAnsi="宋体" w:eastAsia="宋体" w:cs="宋体"/>
          <w:lang w:val="en-US" w:eastAsia="zh-CN"/>
        </w:rPr>
        <w:t>决定</w:t>
      </w:r>
      <w:r>
        <w:rPr>
          <w:rFonts w:hint="eastAsia" w:ascii="宋体" w:hAnsi="宋体" w:eastAsia="宋体" w:cs="宋体"/>
        </w:rPr>
        <w:t>：</w:t>
      </w:r>
    </w:p>
    <w:p w14:paraId="4B6805FF">
      <w:pPr>
        <w:pStyle w:val="4"/>
        <w:spacing w:before="2"/>
        <w:rPr>
          <w:b/>
        </w:rPr>
      </w:pPr>
    </w:p>
    <w:p w14:paraId="52960026">
      <w:pPr>
        <w:pStyle w:val="10"/>
        <w:numPr>
          <w:ilvl w:val="0"/>
          <w:numId w:val="5"/>
        </w:numPr>
        <w:tabs>
          <w:tab w:val="left" w:pos="2175"/>
        </w:tabs>
        <w:spacing w:line="360" w:lineRule="auto"/>
        <w:ind w:right="115"/>
        <w:jc w:val="left"/>
        <w:rPr>
          <w:b/>
          <w:sz w:val="24"/>
        </w:rPr>
      </w:pPr>
      <w:r>
        <w:rPr>
          <w:rFonts w:hint="eastAsia" w:ascii="微软雅黑" w:hAnsi="微软雅黑" w:eastAsia="微软雅黑" w:cs="微软雅黑"/>
          <w:sz w:val="24"/>
          <w:szCs w:val="24"/>
        </w:rPr>
        <w:t>对原产于中国的进口大白</w:t>
      </w:r>
      <w:bookmarkStart w:id="0" w:name="_GoBack"/>
      <w:bookmarkEnd w:id="0"/>
      <w:r>
        <w:rPr>
          <w:rFonts w:hint="eastAsia" w:ascii="微软雅黑" w:hAnsi="微软雅黑" w:eastAsia="微软雅黑" w:cs="微软雅黑"/>
          <w:sz w:val="24"/>
          <w:szCs w:val="24"/>
        </w:rPr>
        <w:t>菜种子（</w:t>
      </w:r>
      <w:r>
        <w:rPr>
          <w:sz w:val="24"/>
          <w:szCs w:val="24"/>
        </w:rPr>
        <w:t>Brassica rapa var.pekinensis</w:t>
      </w:r>
      <w:r>
        <w:rPr>
          <w:rFonts w:hint="eastAsia" w:ascii="微软雅黑" w:hAnsi="微软雅黑" w:eastAsia="微软雅黑" w:cs="微软雅黑"/>
          <w:sz w:val="24"/>
          <w:szCs w:val="24"/>
        </w:rPr>
        <w:t>）制定以下植物检疫措施。</w:t>
      </w:r>
    </w:p>
    <w:p w14:paraId="0A9C6205">
      <w:pPr>
        <w:pStyle w:val="4"/>
        <w:spacing w:before="4"/>
        <w:rPr>
          <w:b/>
          <w:sz w:val="34"/>
        </w:rPr>
      </w:pPr>
    </w:p>
    <w:p w14:paraId="78089B26">
      <w:pPr>
        <w:pStyle w:val="10"/>
        <w:numPr>
          <w:ilvl w:val="1"/>
          <w:numId w:val="2"/>
        </w:numPr>
        <w:tabs>
          <w:tab w:val="left" w:pos="2034"/>
        </w:tabs>
        <w:spacing w:line="360" w:lineRule="auto"/>
        <w:ind w:right="119" w:hanging="360"/>
        <w:jc w:val="both"/>
        <w:rPr>
          <w:rFonts w:hint="eastAsia" w:ascii="微软雅黑" w:hAnsi="微软雅黑" w:eastAsia="微软雅黑" w:cs="微软雅黑"/>
          <w:sz w:val="24"/>
          <w:szCs w:val="24"/>
          <w:lang w:eastAsia="zh-CN"/>
        </w:rPr>
      </w:pPr>
      <w:r>
        <w:rPr>
          <w:lang w:eastAsia="zh-CN"/>
        </w:rPr>
        <w:tab/>
      </w:r>
      <w:r>
        <w:rPr>
          <w:rFonts w:hint="eastAsia" w:ascii="微软雅黑" w:hAnsi="微软雅黑" w:eastAsia="微软雅黑" w:cs="微软雅黑"/>
          <w:sz w:val="24"/>
          <w:szCs w:val="24"/>
          <w:lang w:eastAsia="zh-CN"/>
        </w:rPr>
        <w:t>货物必须附有原产国的官方植物检疫证书，在附加声明栏中注明不含白锈菌 Albugo candida</w:t>
      </w:r>
      <w:r>
        <w:rPr>
          <w:rFonts w:hint="eastAsia" w:ascii="微软雅黑" w:hAnsi="微软雅黑" w:eastAsia="微软雅黑" w:cs="微软雅黑"/>
          <w:sz w:val="24"/>
          <w:szCs w:val="24"/>
          <w:lang w:val="en-US" w:eastAsia="zh-CN"/>
        </w:rPr>
        <w:t>和</w:t>
      </w:r>
      <w:r>
        <w:rPr>
          <w:rFonts w:hint="eastAsia" w:ascii="微软雅黑" w:hAnsi="微软雅黑" w:eastAsia="微软雅黑" w:cs="微软雅黑"/>
          <w:sz w:val="24"/>
          <w:szCs w:val="24"/>
          <w:lang w:eastAsia="zh-CN"/>
        </w:rPr>
        <w:t>萝卜链格孢 Alternaria japonica</w:t>
      </w:r>
    </w:p>
    <w:p w14:paraId="0267DDB6">
      <w:pPr>
        <w:pStyle w:val="10"/>
        <w:numPr>
          <w:numId w:val="0"/>
        </w:numPr>
        <w:tabs>
          <w:tab w:val="left" w:pos="2034"/>
        </w:tabs>
        <w:spacing w:line="360" w:lineRule="auto"/>
        <w:ind w:right="119" w:rightChars="0"/>
        <w:jc w:val="both"/>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eastAsia="zh-CN"/>
        </w:rPr>
        <w:t xml:space="preserve">  </w:t>
      </w:r>
    </w:p>
    <w:p w14:paraId="023D02FA">
      <w:pPr>
        <w:pStyle w:val="4"/>
        <w:rPr>
          <w:lang w:eastAsia="zh-CN"/>
        </w:rPr>
      </w:pPr>
    </w:p>
    <w:p w14:paraId="4438AAC7">
      <w:pPr>
        <w:pStyle w:val="4"/>
        <w:spacing w:before="7"/>
        <w:rPr>
          <w:sz w:val="34"/>
          <w:lang w:eastAsia="zh-CN"/>
        </w:rPr>
      </w:pPr>
    </w:p>
    <w:p w14:paraId="7B383185">
      <w:pPr>
        <w:pStyle w:val="10"/>
        <w:numPr>
          <w:ilvl w:val="0"/>
          <w:numId w:val="5"/>
        </w:numPr>
        <w:tabs>
          <w:tab w:val="left" w:pos="1746"/>
        </w:tabs>
        <w:spacing w:line="360" w:lineRule="auto"/>
        <w:ind w:left="1462" w:right="123" w:firstLine="0"/>
        <w:jc w:val="both"/>
        <w:rPr>
          <w:sz w:val="24"/>
          <w:lang w:eastAsia="zh-CN"/>
        </w:rPr>
      </w:pPr>
      <w:r>
        <w:rPr>
          <w:rFonts w:hint="eastAsia" w:ascii="微软雅黑" w:hAnsi="微软雅黑" w:eastAsia="微软雅黑" w:cs="微软雅黑"/>
          <w:sz w:val="24"/>
          <w:szCs w:val="24"/>
          <w:lang w:eastAsia="zh-CN"/>
        </w:rPr>
        <w:t>进口前必须获得进口许可证（植物检疫要求表）。</w:t>
      </w:r>
    </w:p>
    <w:p w14:paraId="4F2F55EF">
      <w:pPr>
        <w:pStyle w:val="4"/>
        <w:rPr>
          <w:sz w:val="20"/>
          <w:lang w:eastAsia="zh-CN"/>
        </w:rPr>
      </w:pPr>
    </w:p>
    <w:p w14:paraId="4D7748AD">
      <w:pPr>
        <w:pStyle w:val="4"/>
        <w:spacing w:before="1"/>
        <w:rPr>
          <w:sz w:val="14"/>
          <w:lang w:eastAsia="zh-CN"/>
        </w:rPr>
      </w:pPr>
      <w:r>
        <w:pict>
          <v:shape id="docshape25" o:spid="_x0000_s1031" o:spt="202" type="#_x0000_t202" style="position:absolute;left:0pt;margin-left:17.1pt;margin-top:9.8pt;height:22.6pt;width:193.05pt;mso-position-horizontal-relative:page;mso-wrap-distance-bottom:0pt;mso-wrap-distance-top:0pt;z-index:-251646976;mso-width-relative:page;mso-height-relative:page;" stroked="f" coordsize="21600,21600">
            <v:path/>
            <v:fill focussize="0,0"/>
            <v:stroke on="f" joinstyle="miter"/>
            <v:imagedata o:title=""/>
            <o:lock v:ext="edit"/>
            <v:textbox inset="0mm,0mm,0mm,0mm">
              <w:txbxContent>
                <w:p w14:paraId="6B97413F">
                  <w:pPr>
                    <w:spacing w:before="73"/>
                    <w:ind w:left="145"/>
                    <w:rPr>
                      <w:rFonts w:ascii="Cambria"/>
                      <w:color w:val="000000"/>
                      <w:sz w:val="20"/>
                    </w:rPr>
                  </w:pPr>
                  <w:r>
                    <w:fldChar w:fldCharType="begin"/>
                  </w:r>
                  <w:r>
                    <w:instrText xml:space="preserve"> HYPERLINK "http://WWW.SFE.GO.CR/" \h </w:instrText>
                  </w:r>
                  <w:r>
                    <w:fldChar w:fldCharType="separate"/>
                  </w:r>
                  <w:r>
                    <w:rPr>
                      <w:rFonts w:ascii="Cambria"/>
                      <w:color w:val="001F5F"/>
                      <w:spacing w:val="-2"/>
                      <w:sz w:val="20"/>
                    </w:rPr>
                    <w:t>WWW.SFE.GO.CR</w:t>
                  </w:r>
                  <w:r>
                    <w:rPr>
                      <w:rFonts w:ascii="Cambria"/>
                      <w:color w:val="001F5F"/>
                      <w:spacing w:val="-2"/>
                      <w:sz w:val="20"/>
                    </w:rPr>
                    <w:fldChar w:fldCharType="end"/>
                  </w:r>
                </w:p>
              </w:txbxContent>
            </v:textbox>
            <w10:wrap type="topAndBottom"/>
          </v:shape>
        </w:pict>
      </w:r>
    </w:p>
    <w:p w14:paraId="3CD38069">
      <w:pPr>
        <w:rPr>
          <w:sz w:val="14"/>
          <w:lang w:eastAsia="zh-CN"/>
        </w:rPr>
        <w:sectPr>
          <w:pgSz w:w="12240" w:h="15840"/>
          <w:pgMar w:top="160" w:right="1580" w:bottom="280" w:left="240" w:header="720" w:footer="720" w:gutter="0"/>
          <w:cols w:space="720" w:num="1"/>
        </w:sectPr>
      </w:pPr>
    </w:p>
    <w:p w14:paraId="776927FC">
      <w:pPr>
        <w:pStyle w:val="4"/>
        <w:ind w:left="2892"/>
        <w:rPr>
          <w:sz w:val="20"/>
        </w:rPr>
      </w:pPr>
      <w:r>
        <w:pict>
          <v:group id="docshapegroup26" o:spid="_x0000_s1027" o:spt="203" style="position:absolute;left:0pt;margin-left:0.05pt;margin-top:0.05pt;height:791.95pt;width:611.95pt;mso-position-horizontal-relative:page;mso-position-vertical-relative:page;z-index:-251652096;mso-width-relative:page;mso-height-relative:page;" coordorigin="1,1" coordsize="12239,15839">
            <o:lock v:ext="edit"/>
            <v:shape id="docshape27" o:spid="_x0000_s1030" o:spt="75" type="#_x0000_t75" style="position:absolute;left:1;top:1;height:15839;width:12239;" filled="f" o:preferrelative="t" stroked="f" coordsize="21600,21600">
              <v:path/>
              <v:fill on="f" focussize="0,0"/>
              <v:stroke on="f" joinstyle="miter"/>
              <v:imagedata r:id="rId4" o:title=""/>
              <o:lock v:ext="edit" aspectratio="t"/>
            </v:shape>
            <v:shape id="docshape28" o:spid="_x0000_s1029" o:spt="75" type="#_x0000_t75" style="position:absolute;left:2099;top:4168;height:7505;width:7718;" filled="f" o:preferrelative="t" stroked="f" coordsize="21600,21600">
              <v:path/>
              <v:fill on="f" focussize="0,0"/>
              <v:stroke on="f" joinstyle="miter"/>
              <v:imagedata r:id="rId5" o:title=""/>
              <o:lock v:ext="edit" aspectratio="t"/>
            </v:shape>
            <v:rect id="docshape29" o:spid="_x0000_s1028" o:spt="1" style="position:absolute;left:3061;top:988;height:452;width:6267;" stroked="f" coordsize="21600,21600">
              <v:path/>
              <v:fill focussize="0,0"/>
              <v:stroke on="f"/>
              <v:imagedata o:title=""/>
              <o:lock v:ext="edit"/>
            </v:rect>
          </v:group>
        </w:pict>
      </w:r>
      <w:r>
        <w:rPr>
          <w:sz w:val="20"/>
          <w:lang w:val="en-US" w:eastAsia="zh-CN"/>
        </w:rPr>
        <w:drawing>
          <wp:inline distT="0" distB="0" distL="0" distR="0">
            <wp:extent cx="4051935" cy="511810"/>
            <wp:effectExtent l="0" t="0" r="0" b="0"/>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3.png"/>
                    <pic:cNvPicPr>
                      <a:picLocks noChangeAspect="1"/>
                    </pic:cNvPicPr>
                  </pic:nvPicPr>
                  <pic:blipFill>
                    <a:blip r:embed="rId6" cstate="print"/>
                    <a:stretch>
                      <a:fillRect/>
                    </a:stretch>
                  </pic:blipFill>
                  <pic:spPr>
                    <a:xfrm>
                      <a:off x="0" y="0"/>
                      <a:ext cx="4052341" cy="511968"/>
                    </a:xfrm>
                    <a:prstGeom prst="rect">
                      <a:avLst/>
                    </a:prstGeom>
                  </pic:spPr>
                </pic:pic>
              </a:graphicData>
            </a:graphic>
          </wp:inline>
        </w:drawing>
      </w:r>
    </w:p>
    <w:p w14:paraId="16C95E8E">
      <w:pPr>
        <w:pStyle w:val="2"/>
      </w:pPr>
      <w:r>
        <w:rPr>
          <w:rFonts w:hint="eastAsia" w:ascii="宋体" w:hAnsi="宋体" w:eastAsia="宋体" w:cs="宋体"/>
          <w:color w:val="182952"/>
          <w:lang w:val="en-US" w:eastAsia="zh-CN"/>
        </w:rPr>
        <w:t>有害生物</w:t>
      </w:r>
      <w:r>
        <w:rPr>
          <w:rFonts w:hint="eastAsia" w:ascii="宋体" w:hAnsi="宋体" w:eastAsia="宋体" w:cs="宋体"/>
          <w:color w:val="182952"/>
        </w:rPr>
        <w:t>风险分析股</w:t>
      </w:r>
    </w:p>
    <w:p w14:paraId="44673141">
      <w:pPr>
        <w:pStyle w:val="4"/>
        <w:rPr>
          <w:rFonts w:ascii="Cambria"/>
          <w:b/>
          <w:sz w:val="20"/>
        </w:rPr>
      </w:pPr>
    </w:p>
    <w:p w14:paraId="234738E8">
      <w:pPr>
        <w:pStyle w:val="4"/>
        <w:spacing w:before="7"/>
        <w:rPr>
          <w:rFonts w:ascii="Cambria"/>
          <w:b/>
          <w:sz w:val="19"/>
        </w:rPr>
      </w:pPr>
    </w:p>
    <w:p w14:paraId="2531B38A">
      <w:pPr>
        <w:pStyle w:val="10"/>
        <w:numPr>
          <w:ilvl w:val="0"/>
          <w:numId w:val="5"/>
        </w:numPr>
        <w:tabs>
          <w:tab w:val="left" w:pos="1746"/>
        </w:tabs>
        <w:spacing w:before="52"/>
        <w:ind w:left="1745" w:hanging="284"/>
        <w:jc w:val="left"/>
        <w:rPr>
          <w:sz w:val="24"/>
          <w:lang w:eastAsia="zh-CN"/>
        </w:rPr>
      </w:pPr>
      <w:r>
        <w:rPr>
          <w:rFonts w:hint="eastAsia" w:ascii="微软雅黑" w:hAnsi="微软雅黑" w:eastAsia="微软雅黑" w:cs="微软雅黑"/>
          <w:sz w:val="24"/>
          <w:szCs w:val="24"/>
          <w:lang w:eastAsia="zh-CN"/>
        </w:rPr>
        <w:t>本决议自签署之日起生效。</w:t>
      </w:r>
    </w:p>
    <w:p w14:paraId="4E508287">
      <w:pPr>
        <w:pStyle w:val="4"/>
        <w:spacing w:before="11"/>
        <w:rPr>
          <w:sz w:val="35"/>
          <w:lang w:eastAsia="zh-CN"/>
        </w:rPr>
      </w:pPr>
    </w:p>
    <w:p w14:paraId="25DBBE66">
      <w:pPr>
        <w:pStyle w:val="10"/>
        <w:numPr>
          <w:ilvl w:val="0"/>
          <w:numId w:val="5"/>
        </w:numPr>
        <w:tabs>
          <w:tab w:val="left" w:pos="1746"/>
        </w:tabs>
        <w:spacing w:line="360" w:lineRule="auto"/>
        <w:ind w:left="1745" w:right="118" w:hanging="284"/>
        <w:jc w:val="left"/>
        <w:rPr>
          <w:sz w:val="24"/>
          <w:lang w:eastAsia="zh-CN"/>
        </w:rPr>
      </w:pPr>
      <w:r>
        <w:rPr>
          <w:rFonts w:hint="eastAsia" w:ascii="微软雅黑" w:hAnsi="微软雅黑" w:eastAsia="微软雅黑" w:cs="微软雅黑"/>
          <w:sz w:val="24"/>
          <w:szCs w:val="24"/>
          <w:lang w:eastAsia="zh-CN"/>
        </w:rPr>
        <w:t>进口植物检疫要求应在本决议生效时列入进口植物检疫要求数据库。</w:t>
      </w:r>
    </w:p>
    <w:p w14:paraId="404E42CE">
      <w:pPr>
        <w:pStyle w:val="4"/>
        <w:rPr>
          <w:lang w:eastAsia="zh-CN"/>
        </w:rPr>
      </w:pPr>
    </w:p>
    <w:p w14:paraId="07D02631">
      <w:pPr>
        <w:pStyle w:val="4"/>
        <w:rPr>
          <w:lang w:eastAsia="zh-CN"/>
        </w:rPr>
      </w:pPr>
    </w:p>
    <w:p w14:paraId="71765A2F">
      <w:pPr>
        <w:pStyle w:val="4"/>
        <w:rPr>
          <w:lang w:eastAsia="zh-CN"/>
        </w:rPr>
      </w:pPr>
    </w:p>
    <w:p w14:paraId="5BAE32EE">
      <w:pPr>
        <w:pStyle w:val="4"/>
        <w:spacing w:before="11"/>
        <w:rPr>
          <w:sz w:val="23"/>
          <w:lang w:eastAsia="zh-CN"/>
        </w:rPr>
      </w:pPr>
    </w:p>
    <w:p w14:paraId="1888B809">
      <w:pPr>
        <w:pStyle w:val="4"/>
        <w:ind w:left="3781" w:right="2443"/>
        <w:jc w:val="center"/>
        <w:rPr>
          <w:lang w:eastAsia="zh-CN"/>
        </w:rPr>
      </w:pPr>
      <w:r>
        <w:rPr>
          <w:lang w:eastAsia="zh-CN"/>
        </w:rPr>
        <w:t>Ing.</w:t>
      </w:r>
      <w:r>
        <w:rPr>
          <w:rFonts w:hint="eastAsia" w:ascii="微软雅黑" w:hAnsi="微软雅黑" w:eastAsia="微软雅黑" w:cs="微软雅黑"/>
          <w:lang w:eastAsia="zh-CN"/>
        </w:rPr>
        <w:t>埃里克</w:t>
      </w:r>
      <w:r>
        <w:rPr>
          <w:lang w:eastAsia="zh-CN"/>
        </w:rPr>
        <w:t>·</w:t>
      </w:r>
      <w:r>
        <w:rPr>
          <w:rFonts w:hint="eastAsia" w:ascii="微软雅黑" w:hAnsi="微软雅黑" w:eastAsia="微软雅黑" w:cs="微软雅黑"/>
          <w:lang w:eastAsia="zh-CN"/>
        </w:rPr>
        <w:t>塞德尼奥</w:t>
      </w:r>
      <w:r>
        <w:rPr>
          <w:lang w:eastAsia="zh-CN"/>
        </w:rPr>
        <w:t>·</w:t>
      </w:r>
      <w:r>
        <w:rPr>
          <w:rFonts w:hint="eastAsia" w:ascii="微软雅黑" w:hAnsi="微软雅黑" w:eastAsia="微软雅黑" w:cs="微软雅黑"/>
          <w:lang w:eastAsia="zh-CN"/>
        </w:rPr>
        <w:t>纳瓦罗</w:t>
      </w:r>
    </w:p>
    <w:p w14:paraId="7C4E9475">
      <w:pPr>
        <w:pStyle w:val="4"/>
        <w:tabs>
          <w:tab w:val="left" w:pos="7920"/>
        </w:tabs>
        <w:ind w:left="3785" w:right="2060" w:rightChars="0"/>
        <w:jc w:val="center"/>
        <w:rPr>
          <w:lang w:eastAsia="zh-CN"/>
        </w:rPr>
      </w:pPr>
      <w:r>
        <w:rPr>
          <w:rFonts w:hint="eastAsia" w:ascii="微软雅黑" w:hAnsi="微软雅黑" w:eastAsia="微软雅黑" w:cs="微软雅黑"/>
          <w:lang w:eastAsia="zh-CN"/>
        </w:rPr>
        <w:t>国家植物检疫局有害生物风险分析股股长</w:t>
      </w:r>
    </w:p>
    <w:p w14:paraId="14464A48">
      <w:pPr>
        <w:pStyle w:val="4"/>
        <w:rPr>
          <w:sz w:val="20"/>
          <w:lang w:eastAsia="zh-CN"/>
        </w:rPr>
      </w:pPr>
    </w:p>
    <w:p w14:paraId="0BA04AD6">
      <w:pPr>
        <w:pStyle w:val="4"/>
        <w:rPr>
          <w:sz w:val="20"/>
          <w:lang w:eastAsia="zh-CN"/>
        </w:rPr>
      </w:pPr>
    </w:p>
    <w:p w14:paraId="23EFA120">
      <w:pPr>
        <w:pStyle w:val="4"/>
        <w:rPr>
          <w:sz w:val="20"/>
          <w:lang w:eastAsia="zh-CN"/>
        </w:rPr>
      </w:pPr>
    </w:p>
    <w:p w14:paraId="5D16848F">
      <w:pPr>
        <w:pStyle w:val="4"/>
        <w:rPr>
          <w:sz w:val="20"/>
          <w:lang w:eastAsia="zh-CN"/>
        </w:rPr>
      </w:pPr>
    </w:p>
    <w:p w14:paraId="653175CA">
      <w:pPr>
        <w:pStyle w:val="4"/>
        <w:rPr>
          <w:sz w:val="20"/>
          <w:lang w:eastAsia="zh-CN"/>
        </w:rPr>
      </w:pPr>
    </w:p>
    <w:p w14:paraId="11A20CE2">
      <w:pPr>
        <w:pStyle w:val="4"/>
        <w:rPr>
          <w:sz w:val="20"/>
          <w:lang w:eastAsia="zh-CN"/>
        </w:rPr>
      </w:pPr>
    </w:p>
    <w:p w14:paraId="52A3B169">
      <w:pPr>
        <w:pStyle w:val="4"/>
        <w:rPr>
          <w:sz w:val="20"/>
          <w:lang w:eastAsia="zh-CN"/>
        </w:rPr>
      </w:pPr>
    </w:p>
    <w:p w14:paraId="3144BAB3">
      <w:pPr>
        <w:pStyle w:val="4"/>
        <w:rPr>
          <w:sz w:val="20"/>
          <w:lang w:eastAsia="zh-CN"/>
        </w:rPr>
      </w:pPr>
    </w:p>
    <w:p w14:paraId="0DDC39CE">
      <w:pPr>
        <w:pStyle w:val="4"/>
        <w:rPr>
          <w:sz w:val="20"/>
          <w:lang w:eastAsia="zh-CN"/>
        </w:rPr>
      </w:pPr>
    </w:p>
    <w:p w14:paraId="305B91A1">
      <w:pPr>
        <w:pStyle w:val="4"/>
        <w:rPr>
          <w:sz w:val="20"/>
          <w:lang w:eastAsia="zh-CN"/>
        </w:rPr>
      </w:pPr>
    </w:p>
    <w:p w14:paraId="4E35F770">
      <w:pPr>
        <w:pStyle w:val="4"/>
        <w:rPr>
          <w:sz w:val="20"/>
          <w:lang w:eastAsia="zh-CN"/>
        </w:rPr>
      </w:pPr>
    </w:p>
    <w:p w14:paraId="6B6698F3">
      <w:pPr>
        <w:pStyle w:val="4"/>
        <w:rPr>
          <w:sz w:val="20"/>
          <w:lang w:eastAsia="zh-CN"/>
        </w:rPr>
      </w:pPr>
    </w:p>
    <w:p w14:paraId="706F95AA">
      <w:pPr>
        <w:pStyle w:val="4"/>
        <w:rPr>
          <w:sz w:val="20"/>
          <w:lang w:eastAsia="zh-CN"/>
        </w:rPr>
      </w:pPr>
    </w:p>
    <w:p w14:paraId="2224F226">
      <w:pPr>
        <w:pStyle w:val="4"/>
        <w:rPr>
          <w:sz w:val="20"/>
          <w:lang w:eastAsia="zh-CN"/>
        </w:rPr>
      </w:pPr>
    </w:p>
    <w:p w14:paraId="3E46D720">
      <w:pPr>
        <w:pStyle w:val="4"/>
        <w:rPr>
          <w:sz w:val="20"/>
          <w:lang w:eastAsia="zh-CN"/>
        </w:rPr>
      </w:pPr>
    </w:p>
    <w:p w14:paraId="10097E86">
      <w:pPr>
        <w:pStyle w:val="4"/>
        <w:rPr>
          <w:sz w:val="20"/>
          <w:lang w:eastAsia="zh-CN"/>
        </w:rPr>
      </w:pPr>
    </w:p>
    <w:p w14:paraId="618E3D9C">
      <w:pPr>
        <w:pStyle w:val="4"/>
        <w:rPr>
          <w:sz w:val="20"/>
          <w:lang w:eastAsia="zh-CN"/>
        </w:rPr>
      </w:pPr>
    </w:p>
    <w:p w14:paraId="139E18CE">
      <w:pPr>
        <w:pStyle w:val="4"/>
        <w:rPr>
          <w:sz w:val="20"/>
          <w:lang w:eastAsia="zh-CN"/>
        </w:rPr>
      </w:pPr>
    </w:p>
    <w:p w14:paraId="3EFD0341">
      <w:pPr>
        <w:pStyle w:val="4"/>
        <w:rPr>
          <w:sz w:val="20"/>
          <w:lang w:eastAsia="zh-CN"/>
        </w:rPr>
      </w:pPr>
    </w:p>
    <w:p w14:paraId="01487432">
      <w:pPr>
        <w:pStyle w:val="4"/>
        <w:rPr>
          <w:sz w:val="20"/>
          <w:lang w:eastAsia="zh-CN"/>
        </w:rPr>
      </w:pPr>
    </w:p>
    <w:p w14:paraId="2D045664">
      <w:pPr>
        <w:pStyle w:val="4"/>
        <w:rPr>
          <w:sz w:val="20"/>
          <w:lang w:eastAsia="zh-CN"/>
        </w:rPr>
      </w:pPr>
    </w:p>
    <w:p w14:paraId="4B9F572B">
      <w:pPr>
        <w:pStyle w:val="4"/>
        <w:rPr>
          <w:sz w:val="20"/>
          <w:lang w:eastAsia="zh-CN"/>
        </w:rPr>
      </w:pPr>
    </w:p>
    <w:p w14:paraId="6D1F03DD">
      <w:pPr>
        <w:pStyle w:val="4"/>
        <w:rPr>
          <w:sz w:val="20"/>
          <w:lang w:eastAsia="zh-CN"/>
        </w:rPr>
      </w:pPr>
    </w:p>
    <w:p w14:paraId="444B0E9C">
      <w:pPr>
        <w:pStyle w:val="4"/>
        <w:rPr>
          <w:sz w:val="20"/>
          <w:lang w:eastAsia="zh-CN"/>
        </w:rPr>
      </w:pPr>
    </w:p>
    <w:p w14:paraId="50AE0105">
      <w:pPr>
        <w:pStyle w:val="4"/>
        <w:rPr>
          <w:sz w:val="20"/>
          <w:lang w:eastAsia="zh-CN"/>
        </w:rPr>
      </w:pPr>
    </w:p>
    <w:p w14:paraId="6569FA6F">
      <w:pPr>
        <w:pStyle w:val="4"/>
        <w:rPr>
          <w:sz w:val="20"/>
          <w:lang w:eastAsia="zh-CN"/>
        </w:rPr>
      </w:pPr>
    </w:p>
    <w:p w14:paraId="25D78DD5">
      <w:pPr>
        <w:pStyle w:val="4"/>
        <w:rPr>
          <w:sz w:val="20"/>
          <w:lang w:eastAsia="zh-CN"/>
        </w:rPr>
      </w:pPr>
    </w:p>
    <w:p w14:paraId="41241369">
      <w:pPr>
        <w:pStyle w:val="4"/>
        <w:rPr>
          <w:sz w:val="20"/>
          <w:lang w:eastAsia="zh-CN"/>
        </w:rPr>
      </w:pPr>
    </w:p>
    <w:p w14:paraId="28E61E4D">
      <w:pPr>
        <w:pStyle w:val="4"/>
        <w:rPr>
          <w:sz w:val="20"/>
          <w:lang w:eastAsia="zh-CN"/>
        </w:rPr>
      </w:pPr>
    </w:p>
    <w:p w14:paraId="7B6B4491">
      <w:pPr>
        <w:pStyle w:val="4"/>
        <w:rPr>
          <w:sz w:val="20"/>
          <w:lang w:eastAsia="zh-CN"/>
        </w:rPr>
      </w:pPr>
    </w:p>
    <w:p w14:paraId="16FAC0F9">
      <w:pPr>
        <w:pStyle w:val="4"/>
        <w:rPr>
          <w:sz w:val="20"/>
          <w:lang w:eastAsia="zh-CN"/>
        </w:rPr>
      </w:pPr>
    </w:p>
    <w:p w14:paraId="74B2F8DE">
      <w:pPr>
        <w:pStyle w:val="4"/>
        <w:rPr>
          <w:sz w:val="20"/>
          <w:lang w:eastAsia="zh-CN"/>
        </w:rPr>
      </w:pPr>
    </w:p>
    <w:p w14:paraId="01A87DCF">
      <w:pPr>
        <w:pStyle w:val="4"/>
        <w:rPr>
          <w:sz w:val="20"/>
          <w:lang w:eastAsia="zh-CN"/>
        </w:rPr>
      </w:pPr>
    </w:p>
    <w:p w14:paraId="751BD01D">
      <w:pPr>
        <w:pStyle w:val="4"/>
        <w:rPr>
          <w:sz w:val="20"/>
          <w:lang w:eastAsia="zh-CN"/>
        </w:rPr>
      </w:pPr>
    </w:p>
    <w:p w14:paraId="1C898C69">
      <w:pPr>
        <w:pStyle w:val="4"/>
        <w:rPr>
          <w:sz w:val="20"/>
          <w:lang w:eastAsia="zh-CN"/>
        </w:rPr>
      </w:pPr>
    </w:p>
    <w:p w14:paraId="409BC875">
      <w:pPr>
        <w:pStyle w:val="4"/>
        <w:rPr>
          <w:sz w:val="20"/>
          <w:lang w:eastAsia="zh-CN"/>
        </w:rPr>
      </w:pPr>
    </w:p>
    <w:p w14:paraId="3FA8CBFE">
      <w:pPr>
        <w:pStyle w:val="4"/>
        <w:rPr>
          <w:sz w:val="20"/>
          <w:lang w:eastAsia="zh-CN"/>
        </w:rPr>
      </w:pPr>
    </w:p>
    <w:p w14:paraId="131E1283">
      <w:pPr>
        <w:pStyle w:val="4"/>
        <w:spacing w:before="3"/>
        <w:rPr>
          <w:sz w:val="23"/>
        </w:rPr>
      </w:pPr>
      <w:r>
        <w:pict>
          <v:shape id="docshape30" o:spid="_x0000_s1026" o:spt="202" type="#_x0000_t202" style="position:absolute;left:0pt;margin-left:17.1pt;margin-top:15.4pt;height:22.6pt;width:193.05pt;mso-position-horizontal-relative:page;mso-wrap-distance-bottom:0pt;mso-wrap-distance-top:0pt;z-index:-251645952;mso-width-relative:page;mso-height-relative:page;" stroked="f" coordsize="21600,21600">
            <v:path/>
            <v:fill focussize="0,0"/>
            <v:stroke on="f" joinstyle="miter"/>
            <v:imagedata o:title=""/>
            <o:lock v:ext="edit"/>
            <v:textbox inset="0mm,0mm,0mm,0mm">
              <w:txbxContent>
                <w:p w14:paraId="60614E57">
                  <w:pPr>
                    <w:spacing w:before="73"/>
                    <w:ind w:left="145"/>
                    <w:rPr>
                      <w:rFonts w:ascii="Cambria"/>
                      <w:color w:val="000000"/>
                      <w:sz w:val="20"/>
                    </w:rPr>
                  </w:pPr>
                  <w:r>
                    <w:fldChar w:fldCharType="begin"/>
                  </w:r>
                  <w:r>
                    <w:instrText xml:space="preserve"> HYPERLINK "http://WWW.SFE.GO.CR/" \h </w:instrText>
                  </w:r>
                  <w:r>
                    <w:fldChar w:fldCharType="separate"/>
                  </w:r>
                  <w:r>
                    <w:rPr>
                      <w:rFonts w:ascii="Cambria"/>
                      <w:color w:val="001F5F"/>
                      <w:spacing w:val="-2"/>
                      <w:sz w:val="20"/>
                    </w:rPr>
                    <w:t>WWW.SFE.GO.CR</w:t>
                  </w:r>
                  <w:r>
                    <w:rPr>
                      <w:rFonts w:ascii="Cambria"/>
                      <w:color w:val="001F5F"/>
                      <w:spacing w:val="-2"/>
                      <w:sz w:val="20"/>
                    </w:rPr>
                    <w:fldChar w:fldCharType="end"/>
                  </w:r>
                </w:p>
              </w:txbxContent>
            </v:textbox>
            <w10:wrap type="topAndBottom"/>
          </v:shape>
        </w:pict>
      </w:r>
    </w:p>
    <w:sectPr>
      <w:pgSz w:w="12240" w:h="15840"/>
      <w:pgMar w:top="160" w:right="1580" w:bottom="280" w:left="24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B13C45"/>
    <w:multiLevelType w:val="multilevel"/>
    <w:tmpl w:val="0FB13C45"/>
    <w:lvl w:ilvl="0" w:tentative="0">
      <w:start w:val="1"/>
      <w:numFmt w:val="decimal"/>
      <w:lvlText w:val="%1."/>
      <w:lvlJc w:val="left"/>
      <w:pPr>
        <w:ind w:left="1603" w:hanging="284"/>
        <w:jc w:val="right"/>
      </w:pPr>
      <w:rPr>
        <w:rFonts w:hint="default" w:ascii="Calibri" w:hAnsi="Calibri" w:eastAsia="Calibri" w:cs="Calibri"/>
        <w:b/>
        <w:bCs/>
        <w:i w:val="0"/>
        <w:iCs w:val="0"/>
        <w:w w:val="100"/>
        <w:sz w:val="24"/>
        <w:szCs w:val="24"/>
        <w:lang w:val="es-ES" w:eastAsia="en-US" w:bidi="ar-SA"/>
      </w:rPr>
    </w:lvl>
    <w:lvl w:ilvl="1" w:tentative="0">
      <w:start w:val="1"/>
      <w:numFmt w:val="lowerLetter"/>
      <w:lvlText w:val="%2)"/>
      <w:lvlJc w:val="left"/>
      <w:pPr>
        <w:ind w:left="1978" w:hanging="416"/>
        <w:jc w:val="left"/>
      </w:pPr>
      <w:rPr>
        <w:rFonts w:hint="default"/>
        <w:w w:val="100"/>
        <w:lang w:val="es-ES" w:eastAsia="en-US" w:bidi="ar-SA"/>
      </w:rPr>
    </w:lvl>
    <w:lvl w:ilvl="2" w:tentative="0">
      <w:start w:val="0"/>
      <w:numFmt w:val="bullet"/>
      <w:lvlText w:val="•"/>
      <w:lvlJc w:val="left"/>
      <w:pPr>
        <w:ind w:left="1980" w:hanging="416"/>
      </w:pPr>
      <w:rPr>
        <w:rFonts w:hint="default"/>
        <w:lang w:val="es-ES" w:eastAsia="en-US" w:bidi="ar-SA"/>
      </w:rPr>
    </w:lvl>
    <w:lvl w:ilvl="3" w:tentative="0">
      <w:start w:val="0"/>
      <w:numFmt w:val="bullet"/>
      <w:lvlText w:val="•"/>
      <w:lvlJc w:val="left"/>
      <w:pPr>
        <w:ind w:left="2180" w:hanging="416"/>
      </w:pPr>
      <w:rPr>
        <w:rFonts w:hint="default"/>
        <w:lang w:val="es-ES" w:eastAsia="en-US" w:bidi="ar-SA"/>
      </w:rPr>
    </w:lvl>
    <w:lvl w:ilvl="4" w:tentative="0">
      <w:start w:val="0"/>
      <w:numFmt w:val="bullet"/>
      <w:lvlText w:val="•"/>
      <w:lvlJc w:val="left"/>
      <w:pPr>
        <w:ind w:left="3357" w:hanging="416"/>
      </w:pPr>
      <w:rPr>
        <w:rFonts w:hint="default"/>
        <w:lang w:val="es-ES" w:eastAsia="en-US" w:bidi="ar-SA"/>
      </w:rPr>
    </w:lvl>
    <w:lvl w:ilvl="5" w:tentative="0">
      <w:start w:val="0"/>
      <w:numFmt w:val="bullet"/>
      <w:lvlText w:val="•"/>
      <w:lvlJc w:val="left"/>
      <w:pPr>
        <w:ind w:left="4534" w:hanging="416"/>
      </w:pPr>
      <w:rPr>
        <w:rFonts w:hint="default"/>
        <w:lang w:val="es-ES" w:eastAsia="en-US" w:bidi="ar-SA"/>
      </w:rPr>
    </w:lvl>
    <w:lvl w:ilvl="6" w:tentative="0">
      <w:start w:val="0"/>
      <w:numFmt w:val="bullet"/>
      <w:lvlText w:val="•"/>
      <w:lvlJc w:val="left"/>
      <w:pPr>
        <w:ind w:left="5711" w:hanging="416"/>
      </w:pPr>
      <w:rPr>
        <w:rFonts w:hint="default"/>
        <w:lang w:val="es-ES" w:eastAsia="en-US" w:bidi="ar-SA"/>
      </w:rPr>
    </w:lvl>
    <w:lvl w:ilvl="7" w:tentative="0">
      <w:start w:val="0"/>
      <w:numFmt w:val="bullet"/>
      <w:lvlText w:val="•"/>
      <w:lvlJc w:val="left"/>
      <w:pPr>
        <w:ind w:left="6888" w:hanging="416"/>
      </w:pPr>
      <w:rPr>
        <w:rFonts w:hint="default"/>
        <w:lang w:val="es-ES" w:eastAsia="en-US" w:bidi="ar-SA"/>
      </w:rPr>
    </w:lvl>
    <w:lvl w:ilvl="8" w:tentative="0">
      <w:start w:val="0"/>
      <w:numFmt w:val="bullet"/>
      <w:lvlText w:val="•"/>
      <w:lvlJc w:val="left"/>
      <w:pPr>
        <w:ind w:left="8065" w:hanging="416"/>
      </w:pPr>
      <w:rPr>
        <w:rFonts w:hint="default"/>
        <w:lang w:val="es-ES" w:eastAsia="en-US" w:bidi="ar-SA"/>
      </w:rPr>
    </w:lvl>
  </w:abstractNum>
  <w:abstractNum w:abstractNumId="1">
    <w:nsid w:val="210206FB"/>
    <w:multiLevelType w:val="multilevel"/>
    <w:tmpl w:val="210206FB"/>
    <w:lvl w:ilvl="0" w:tentative="0">
      <w:start w:val="5"/>
      <w:numFmt w:val="lowerLetter"/>
      <w:lvlText w:val="%1)"/>
      <w:lvlJc w:val="left"/>
      <w:pPr>
        <w:ind w:left="1889" w:hanging="293"/>
        <w:jc w:val="left"/>
      </w:pPr>
      <w:rPr>
        <w:rFonts w:hint="default"/>
        <w:w w:val="100"/>
        <w:lang w:val="es-ES" w:eastAsia="en-US" w:bidi="ar-SA"/>
      </w:rPr>
    </w:lvl>
    <w:lvl w:ilvl="1" w:tentative="0">
      <w:start w:val="0"/>
      <w:numFmt w:val="bullet"/>
      <w:lvlText w:val="•"/>
      <w:lvlJc w:val="left"/>
      <w:pPr>
        <w:ind w:left="2734" w:hanging="293"/>
      </w:pPr>
      <w:rPr>
        <w:rFonts w:hint="default"/>
        <w:lang w:val="es-ES" w:eastAsia="en-US" w:bidi="ar-SA"/>
      </w:rPr>
    </w:lvl>
    <w:lvl w:ilvl="2" w:tentative="0">
      <w:start w:val="0"/>
      <w:numFmt w:val="bullet"/>
      <w:lvlText w:val="•"/>
      <w:lvlJc w:val="left"/>
      <w:pPr>
        <w:ind w:left="3588" w:hanging="293"/>
      </w:pPr>
      <w:rPr>
        <w:rFonts w:hint="default"/>
        <w:lang w:val="es-ES" w:eastAsia="en-US" w:bidi="ar-SA"/>
      </w:rPr>
    </w:lvl>
    <w:lvl w:ilvl="3" w:tentative="0">
      <w:start w:val="0"/>
      <w:numFmt w:val="bullet"/>
      <w:lvlText w:val="•"/>
      <w:lvlJc w:val="left"/>
      <w:pPr>
        <w:ind w:left="4442" w:hanging="293"/>
      </w:pPr>
      <w:rPr>
        <w:rFonts w:hint="default"/>
        <w:lang w:val="es-ES" w:eastAsia="en-US" w:bidi="ar-SA"/>
      </w:rPr>
    </w:lvl>
    <w:lvl w:ilvl="4" w:tentative="0">
      <w:start w:val="0"/>
      <w:numFmt w:val="bullet"/>
      <w:lvlText w:val="•"/>
      <w:lvlJc w:val="left"/>
      <w:pPr>
        <w:ind w:left="5296" w:hanging="293"/>
      </w:pPr>
      <w:rPr>
        <w:rFonts w:hint="default"/>
        <w:lang w:val="es-ES" w:eastAsia="en-US" w:bidi="ar-SA"/>
      </w:rPr>
    </w:lvl>
    <w:lvl w:ilvl="5" w:tentative="0">
      <w:start w:val="0"/>
      <w:numFmt w:val="bullet"/>
      <w:lvlText w:val="•"/>
      <w:lvlJc w:val="left"/>
      <w:pPr>
        <w:ind w:left="6150" w:hanging="293"/>
      </w:pPr>
      <w:rPr>
        <w:rFonts w:hint="default"/>
        <w:lang w:val="es-ES" w:eastAsia="en-US" w:bidi="ar-SA"/>
      </w:rPr>
    </w:lvl>
    <w:lvl w:ilvl="6" w:tentative="0">
      <w:start w:val="0"/>
      <w:numFmt w:val="bullet"/>
      <w:lvlText w:val="•"/>
      <w:lvlJc w:val="left"/>
      <w:pPr>
        <w:ind w:left="7004" w:hanging="293"/>
      </w:pPr>
      <w:rPr>
        <w:rFonts w:hint="default"/>
        <w:lang w:val="es-ES" w:eastAsia="en-US" w:bidi="ar-SA"/>
      </w:rPr>
    </w:lvl>
    <w:lvl w:ilvl="7" w:tentative="0">
      <w:start w:val="0"/>
      <w:numFmt w:val="bullet"/>
      <w:lvlText w:val="•"/>
      <w:lvlJc w:val="left"/>
      <w:pPr>
        <w:ind w:left="7858" w:hanging="293"/>
      </w:pPr>
      <w:rPr>
        <w:rFonts w:hint="default"/>
        <w:lang w:val="es-ES" w:eastAsia="en-US" w:bidi="ar-SA"/>
      </w:rPr>
    </w:lvl>
    <w:lvl w:ilvl="8" w:tentative="0">
      <w:start w:val="0"/>
      <w:numFmt w:val="bullet"/>
      <w:lvlText w:val="•"/>
      <w:lvlJc w:val="left"/>
      <w:pPr>
        <w:ind w:left="8712" w:hanging="293"/>
      </w:pPr>
      <w:rPr>
        <w:rFonts w:hint="default"/>
        <w:lang w:val="es-ES" w:eastAsia="en-US" w:bidi="ar-SA"/>
      </w:rPr>
    </w:lvl>
  </w:abstractNum>
  <w:abstractNum w:abstractNumId="2">
    <w:nsid w:val="2B8D7A65"/>
    <w:multiLevelType w:val="multilevel"/>
    <w:tmpl w:val="2B8D7A65"/>
    <w:lvl w:ilvl="0" w:tentative="0">
      <w:start w:val="1"/>
      <w:numFmt w:val="decimal"/>
      <w:lvlText w:val="%1."/>
      <w:lvlJc w:val="left"/>
      <w:pPr>
        <w:ind w:left="2174" w:hanging="356"/>
        <w:jc w:val="right"/>
      </w:pPr>
      <w:rPr>
        <w:rFonts w:hint="default"/>
        <w:w w:val="100"/>
        <w:lang w:val="es-ES" w:eastAsia="en-US" w:bidi="ar-SA"/>
      </w:rPr>
    </w:lvl>
    <w:lvl w:ilvl="1" w:tentative="0">
      <w:start w:val="0"/>
      <w:numFmt w:val="bullet"/>
      <w:lvlText w:val="•"/>
      <w:lvlJc w:val="left"/>
      <w:pPr>
        <w:ind w:left="3004" w:hanging="356"/>
      </w:pPr>
      <w:rPr>
        <w:rFonts w:hint="default"/>
        <w:lang w:val="es-ES" w:eastAsia="en-US" w:bidi="ar-SA"/>
      </w:rPr>
    </w:lvl>
    <w:lvl w:ilvl="2" w:tentative="0">
      <w:start w:val="0"/>
      <w:numFmt w:val="bullet"/>
      <w:lvlText w:val="•"/>
      <w:lvlJc w:val="left"/>
      <w:pPr>
        <w:ind w:left="3828" w:hanging="356"/>
      </w:pPr>
      <w:rPr>
        <w:rFonts w:hint="default"/>
        <w:lang w:val="es-ES" w:eastAsia="en-US" w:bidi="ar-SA"/>
      </w:rPr>
    </w:lvl>
    <w:lvl w:ilvl="3" w:tentative="0">
      <w:start w:val="0"/>
      <w:numFmt w:val="bullet"/>
      <w:lvlText w:val="•"/>
      <w:lvlJc w:val="left"/>
      <w:pPr>
        <w:ind w:left="4652" w:hanging="356"/>
      </w:pPr>
      <w:rPr>
        <w:rFonts w:hint="default"/>
        <w:lang w:val="es-ES" w:eastAsia="en-US" w:bidi="ar-SA"/>
      </w:rPr>
    </w:lvl>
    <w:lvl w:ilvl="4" w:tentative="0">
      <w:start w:val="0"/>
      <w:numFmt w:val="bullet"/>
      <w:lvlText w:val="•"/>
      <w:lvlJc w:val="left"/>
      <w:pPr>
        <w:ind w:left="5476" w:hanging="356"/>
      </w:pPr>
      <w:rPr>
        <w:rFonts w:hint="default"/>
        <w:lang w:val="es-ES" w:eastAsia="en-US" w:bidi="ar-SA"/>
      </w:rPr>
    </w:lvl>
    <w:lvl w:ilvl="5" w:tentative="0">
      <w:start w:val="0"/>
      <w:numFmt w:val="bullet"/>
      <w:lvlText w:val="•"/>
      <w:lvlJc w:val="left"/>
      <w:pPr>
        <w:ind w:left="6300" w:hanging="356"/>
      </w:pPr>
      <w:rPr>
        <w:rFonts w:hint="default"/>
        <w:lang w:val="es-ES" w:eastAsia="en-US" w:bidi="ar-SA"/>
      </w:rPr>
    </w:lvl>
    <w:lvl w:ilvl="6" w:tentative="0">
      <w:start w:val="0"/>
      <w:numFmt w:val="bullet"/>
      <w:lvlText w:val="•"/>
      <w:lvlJc w:val="left"/>
      <w:pPr>
        <w:ind w:left="7124" w:hanging="356"/>
      </w:pPr>
      <w:rPr>
        <w:rFonts w:hint="default"/>
        <w:lang w:val="es-ES" w:eastAsia="en-US" w:bidi="ar-SA"/>
      </w:rPr>
    </w:lvl>
    <w:lvl w:ilvl="7" w:tentative="0">
      <w:start w:val="0"/>
      <w:numFmt w:val="bullet"/>
      <w:lvlText w:val="•"/>
      <w:lvlJc w:val="left"/>
      <w:pPr>
        <w:ind w:left="7948" w:hanging="356"/>
      </w:pPr>
      <w:rPr>
        <w:rFonts w:hint="default"/>
        <w:lang w:val="es-ES" w:eastAsia="en-US" w:bidi="ar-SA"/>
      </w:rPr>
    </w:lvl>
    <w:lvl w:ilvl="8" w:tentative="0">
      <w:start w:val="0"/>
      <w:numFmt w:val="bullet"/>
      <w:lvlText w:val="•"/>
      <w:lvlJc w:val="left"/>
      <w:pPr>
        <w:ind w:left="8772" w:hanging="356"/>
      </w:pPr>
      <w:rPr>
        <w:rFonts w:hint="default"/>
        <w:lang w:val="es-ES" w:eastAsia="en-US" w:bidi="ar-SA"/>
      </w:rPr>
    </w:lvl>
  </w:abstractNum>
  <w:abstractNum w:abstractNumId="3">
    <w:nsid w:val="5E215BB7"/>
    <w:multiLevelType w:val="multilevel"/>
    <w:tmpl w:val="5E215BB7"/>
    <w:lvl w:ilvl="0" w:tentative="0">
      <w:start w:val="3"/>
      <w:numFmt w:val="lowerLetter"/>
      <w:lvlText w:val="%1)"/>
      <w:lvlJc w:val="left"/>
      <w:pPr>
        <w:ind w:left="1889" w:hanging="269"/>
        <w:jc w:val="left"/>
      </w:pPr>
      <w:rPr>
        <w:rFonts w:hint="default" w:ascii="Calibri" w:hAnsi="Calibri" w:eastAsia="Calibri" w:cs="Calibri"/>
        <w:b w:val="0"/>
        <w:bCs w:val="0"/>
        <w:i/>
        <w:iCs/>
        <w:w w:val="100"/>
        <w:sz w:val="24"/>
        <w:szCs w:val="24"/>
        <w:lang w:val="es-ES" w:eastAsia="en-US" w:bidi="ar-SA"/>
      </w:rPr>
    </w:lvl>
    <w:lvl w:ilvl="1" w:tentative="0">
      <w:start w:val="0"/>
      <w:numFmt w:val="bullet"/>
      <w:lvlText w:val="•"/>
      <w:lvlJc w:val="left"/>
      <w:pPr>
        <w:ind w:left="2734" w:hanging="269"/>
      </w:pPr>
      <w:rPr>
        <w:rFonts w:hint="default"/>
        <w:lang w:val="es-ES" w:eastAsia="en-US" w:bidi="ar-SA"/>
      </w:rPr>
    </w:lvl>
    <w:lvl w:ilvl="2" w:tentative="0">
      <w:start w:val="0"/>
      <w:numFmt w:val="bullet"/>
      <w:lvlText w:val="•"/>
      <w:lvlJc w:val="left"/>
      <w:pPr>
        <w:ind w:left="3588" w:hanging="269"/>
      </w:pPr>
      <w:rPr>
        <w:rFonts w:hint="default"/>
        <w:lang w:val="es-ES" w:eastAsia="en-US" w:bidi="ar-SA"/>
      </w:rPr>
    </w:lvl>
    <w:lvl w:ilvl="3" w:tentative="0">
      <w:start w:val="0"/>
      <w:numFmt w:val="bullet"/>
      <w:lvlText w:val="•"/>
      <w:lvlJc w:val="left"/>
      <w:pPr>
        <w:ind w:left="4442" w:hanging="269"/>
      </w:pPr>
      <w:rPr>
        <w:rFonts w:hint="default"/>
        <w:lang w:val="es-ES" w:eastAsia="en-US" w:bidi="ar-SA"/>
      </w:rPr>
    </w:lvl>
    <w:lvl w:ilvl="4" w:tentative="0">
      <w:start w:val="0"/>
      <w:numFmt w:val="bullet"/>
      <w:lvlText w:val="•"/>
      <w:lvlJc w:val="left"/>
      <w:pPr>
        <w:ind w:left="5296" w:hanging="269"/>
      </w:pPr>
      <w:rPr>
        <w:rFonts w:hint="default"/>
        <w:lang w:val="es-ES" w:eastAsia="en-US" w:bidi="ar-SA"/>
      </w:rPr>
    </w:lvl>
    <w:lvl w:ilvl="5" w:tentative="0">
      <w:start w:val="0"/>
      <w:numFmt w:val="bullet"/>
      <w:lvlText w:val="•"/>
      <w:lvlJc w:val="left"/>
      <w:pPr>
        <w:ind w:left="6150" w:hanging="269"/>
      </w:pPr>
      <w:rPr>
        <w:rFonts w:hint="default"/>
        <w:lang w:val="es-ES" w:eastAsia="en-US" w:bidi="ar-SA"/>
      </w:rPr>
    </w:lvl>
    <w:lvl w:ilvl="6" w:tentative="0">
      <w:start w:val="0"/>
      <w:numFmt w:val="bullet"/>
      <w:lvlText w:val="•"/>
      <w:lvlJc w:val="left"/>
      <w:pPr>
        <w:ind w:left="7004" w:hanging="269"/>
      </w:pPr>
      <w:rPr>
        <w:rFonts w:hint="default"/>
        <w:lang w:val="es-ES" w:eastAsia="en-US" w:bidi="ar-SA"/>
      </w:rPr>
    </w:lvl>
    <w:lvl w:ilvl="7" w:tentative="0">
      <w:start w:val="0"/>
      <w:numFmt w:val="bullet"/>
      <w:lvlText w:val="•"/>
      <w:lvlJc w:val="left"/>
      <w:pPr>
        <w:ind w:left="7858" w:hanging="269"/>
      </w:pPr>
      <w:rPr>
        <w:rFonts w:hint="default"/>
        <w:lang w:val="es-ES" w:eastAsia="en-US" w:bidi="ar-SA"/>
      </w:rPr>
    </w:lvl>
    <w:lvl w:ilvl="8" w:tentative="0">
      <w:start w:val="0"/>
      <w:numFmt w:val="bullet"/>
      <w:lvlText w:val="•"/>
      <w:lvlJc w:val="left"/>
      <w:pPr>
        <w:ind w:left="8712" w:hanging="269"/>
      </w:pPr>
      <w:rPr>
        <w:rFonts w:hint="default"/>
        <w:lang w:val="es-ES" w:eastAsia="en-US" w:bidi="ar-SA"/>
      </w:rPr>
    </w:lvl>
  </w:abstractNum>
  <w:abstractNum w:abstractNumId="4">
    <w:nsid w:val="5F4A6AB9"/>
    <w:multiLevelType w:val="multilevel"/>
    <w:tmpl w:val="5F4A6AB9"/>
    <w:lvl w:ilvl="0" w:tentative="0">
      <w:start w:val="1"/>
      <w:numFmt w:val="decimal"/>
      <w:lvlText w:val="%1."/>
      <w:lvlJc w:val="left"/>
      <w:pPr>
        <w:ind w:left="1462" w:hanging="776"/>
        <w:jc w:val="left"/>
      </w:pPr>
      <w:rPr>
        <w:rFonts w:hint="default" w:ascii="Calibri" w:hAnsi="Calibri" w:eastAsia="Calibri" w:cs="Calibri"/>
        <w:b/>
        <w:bCs/>
        <w:i w:val="0"/>
        <w:iCs w:val="0"/>
        <w:w w:val="100"/>
        <w:sz w:val="24"/>
        <w:szCs w:val="24"/>
        <w:lang w:val="es-ES" w:eastAsia="en-US" w:bidi="ar-SA"/>
      </w:rPr>
    </w:lvl>
    <w:lvl w:ilvl="1" w:tentative="0">
      <w:start w:val="0"/>
      <w:numFmt w:val="bullet"/>
      <w:lvlText w:val="•"/>
      <w:lvlJc w:val="left"/>
      <w:pPr>
        <w:ind w:left="2356" w:hanging="776"/>
      </w:pPr>
      <w:rPr>
        <w:rFonts w:hint="default"/>
        <w:lang w:val="es-ES" w:eastAsia="en-US" w:bidi="ar-SA"/>
      </w:rPr>
    </w:lvl>
    <w:lvl w:ilvl="2" w:tentative="0">
      <w:start w:val="0"/>
      <w:numFmt w:val="bullet"/>
      <w:lvlText w:val="•"/>
      <w:lvlJc w:val="left"/>
      <w:pPr>
        <w:ind w:left="3252" w:hanging="776"/>
      </w:pPr>
      <w:rPr>
        <w:rFonts w:hint="default"/>
        <w:lang w:val="es-ES" w:eastAsia="en-US" w:bidi="ar-SA"/>
      </w:rPr>
    </w:lvl>
    <w:lvl w:ilvl="3" w:tentative="0">
      <w:start w:val="0"/>
      <w:numFmt w:val="bullet"/>
      <w:lvlText w:val="•"/>
      <w:lvlJc w:val="left"/>
      <w:pPr>
        <w:ind w:left="4148" w:hanging="776"/>
      </w:pPr>
      <w:rPr>
        <w:rFonts w:hint="default"/>
        <w:lang w:val="es-ES" w:eastAsia="en-US" w:bidi="ar-SA"/>
      </w:rPr>
    </w:lvl>
    <w:lvl w:ilvl="4" w:tentative="0">
      <w:start w:val="0"/>
      <w:numFmt w:val="bullet"/>
      <w:lvlText w:val="•"/>
      <w:lvlJc w:val="left"/>
      <w:pPr>
        <w:ind w:left="5044" w:hanging="776"/>
      </w:pPr>
      <w:rPr>
        <w:rFonts w:hint="default"/>
        <w:lang w:val="es-ES" w:eastAsia="en-US" w:bidi="ar-SA"/>
      </w:rPr>
    </w:lvl>
    <w:lvl w:ilvl="5" w:tentative="0">
      <w:start w:val="0"/>
      <w:numFmt w:val="bullet"/>
      <w:lvlText w:val="•"/>
      <w:lvlJc w:val="left"/>
      <w:pPr>
        <w:ind w:left="5940" w:hanging="776"/>
      </w:pPr>
      <w:rPr>
        <w:rFonts w:hint="default"/>
        <w:lang w:val="es-ES" w:eastAsia="en-US" w:bidi="ar-SA"/>
      </w:rPr>
    </w:lvl>
    <w:lvl w:ilvl="6" w:tentative="0">
      <w:start w:val="0"/>
      <w:numFmt w:val="bullet"/>
      <w:lvlText w:val="•"/>
      <w:lvlJc w:val="left"/>
      <w:pPr>
        <w:ind w:left="6836" w:hanging="776"/>
      </w:pPr>
      <w:rPr>
        <w:rFonts w:hint="default"/>
        <w:lang w:val="es-ES" w:eastAsia="en-US" w:bidi="ar-SA"/>
      </w:rPr>
    </w:lvl>
    <w:lvl w:ilvl="7" w:tentative="0">
      <w:start w:val="0"/>
      <w:numFmt w:val="bullet"/>
      <w:lvlText w:val="•"/>
      <w:lvlJc w:val="left"/>
      <w:pPr>
        <w:ind w:left="7732" w:hanging="776"/>
      </w:pPr>
      <w:rPr>
        <w:rFonts w:hint="default"/>
        <w:lang w:val="es-ES" w:eastAsia="en-US" w:bidi="ar-SA"/>
      </w:rPr>
    </w:lvl>
    <w:lvl w:ilvl="8" w:tentative="0">
      <w:start w:val="0"/>
      <w:numFmt w:val="bullet"/>
      <w:lvlText w:val="•"/>
      <w:lvlJc w:val="left"/>
      <w:pPr>
        <w:ind w:left="8628" w:hanging="776"/>
      </w:pPr>
      <w:rPr>
        <w:rFonts w:hint="default"/>
        <w:lang w:val="es-ES" w:eastAsia="en-US" w:bidi="ar-SA"/>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
  <w:rsids>
    <w:rsidRoot w:val="00491FA9"/>
    <w:rsid w:val="0044437F"/>
    <w:rsid w:val="00491FA9"/>
    <w:rsid w:val="00C67DFD"/>
    <w:rsid w:val="44D3620E"/>
    <w:rsid w:val="68ED4BB6"/>
    <w:rsid w:val="6D0D7C60"/>
    <w:rsid w:val="6E3E568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Calibri" w:hAnsi="Calibri" w:eastAsia="Calibri" w:cs="Calibri"/>
      <w:sz w:val="22"/>
      <w:szCs w:val="22"/>
      <w:lang w:val="es-ES" w:eastAsia="en-US" w:bidi="ar-SA"/>
    </w:rPr>
  </w:style>
  <w:style w:type="paragraph" w:styleId="2">
    <w:name w:val="heading 1"/>
    <w:basedOn w:val="1"/>
    <w:qFormat/>
    <w:uiPriority w:val="1"/>
    <w:pPr>
      <w:spacing w:before="93"/>
      <w:ind w:left="3521"/>
      <w:outlineLvl w:val="0"/>
    </w:pPr>
    <w:rPr>
      <w:rFonts w:ascii="Cambria" w:hAnsi="Cambria" w:eastAsia="Cambria" w:cs="Cambria"/>
      <w:b/>
      <w:bCs/>
      <w:sz w:val="24"/>
      <w:szCs w:val="24"/>
    </w:rPr>
  </w:style>
  <w:style w:type="paragraph" w:styleId="3">
    <w:name w:val="heading 2"/>
    <w:basedOn w:val="1"/>
    <w:qFormat/>
    <w:uiPriority w:val="1"/>
    <w:pPr>
      <w:ind w:left="1889"/>
      <w:jc w:val="both"/>
      <w:outlineLvl w:val="1"/>
    </w:pPr>
    <w:rPr>
      <w:b/>
      <w:bCs/>
      <w:i/>
      <w:iCs/>
      <w:sz w:val="24"/>
      <w:szCs w:val="24"/>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4">
    <w:name w:val="Body Text"/>
    <w:basedOn w:val="1"/>
    <w:qFormat/>
    <w:uiPriority w:val="1"/>
    <w:rPr>
      <w:sz w:val="24"/>
      <w:szCs w:val="24"/>
    </w:rPr>
  </w:style>
  <w:style w:type="paragraph" w:styleId="5">
    <w:name w:val="footer"/>
    <w:basedOn w:val="1"/>
    <w:link w:val="13"/>
    <w:unhideWhenUsed/>
    <w:qFormat/>
    <w:uiPriority w:val="99"/>
    <w:pPr>
      <w:tabs>
        <w:tab w:val="center" w:pos="4153"/>
        <w:tab w:val="right" w:pos="8306"/>
      </w:tabs>
      <w:snapToGrid w:val="0"/>
    </w:pPr>
    <w:rPr>
      <w:sz w:val="18"/>
      <w:szCs w:val="18"/>
    </w:rPr>
  </w:style>
  <w:style w:type="paragraph" w:styleId="6">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pPr>
      <w:ind w:left="1462"/>
      <w:jc w:val="both"/>
    </w:pPr>
  </w:style>
  <w:style w:type="paragraph" w:customStyle="1" w:styleId="11">
    <w:name w:val="Table Paragraph"/>
    <w:basedOn w:val="1"/>
    <w:qFormat/>
    <w:uiPriority w:val="1"/>
  </w:style>
  <w:style w:type="character" w:customStyle="1" w:styleId="12">
    <w:name w:val="页眉 字符"/>
    <w:basedOn w:val="8"/>
    <w:link w:val="6"/>
    <w:uiPriority w:val="99"/>
    <w:rPr>
      <w:rFonts w:ascii="Calibri" w:hAnsi="Calibri" w:eastAsia="Calibri" w:cs="Calibri"/>
      <w:sz w:val="18"/>
      <w:szCs w:val="18"/>
      <w:lang w:val="es-ES"/>
    </w:rPr>
  </w:style>
  <w:style w:type="character" w:customStyle="1" w:styleId="13">
    <w:name w:val="页脚 字符"/>
    <w:basedOn w:val="8"/>
    <w:link w:val="5"/>
    <w:uiPriority w:val="99"/>
    <w:rPr>
      <w:rFonts w:ascii="Calibri" w:hAnsi="Calibri" w:eastAsia="Calibri" w:cs="Calibri"/>
      <w:sz w:val="18"/>
      <w:szCs w:val="18"/>
      <w:lang w:val="es-E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55"/>
    <customShpInfo spid="_x0000_s1054"/>
    <customShpInfo spid="_x0000_s1053"/>
    <customShpInfo spid="_x0000_s1052"/>
    <customShpInfo spid="_x0000_s1051"/>
    <customShpInfo spid="_x0000_s1050"/>
    <customShpInfo spid="_x0000_s1049"/>
    <customShpInfo spid="_x0000_s1048"/>
    <customShpInfo spid="_x0000_s1047"/>
    <customShpInfo spid="_x0000_s1046"/>
    <customShpInfo spid="_x0000_s1045"/>
    <customShpInfo spid="_x0000_s1044"/>
    <customShpInfo spid="_x0000_s1043"/>
    <customShpInfo spid="_x0000_s1042"/>
    <customShpInfo spid="_x0000_s1041"/>
    <customShpInfo spid="_x0000_s1040"/>
    <customShpInfo spid="_x0000_s1039"/>
    <customShpInfo spid="_x0000_s1038"/>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Info spid="_x0000_s1027"/>
    <customShpInfo spid="_x0000_s1026"/>
  </customShpExts>
</s:customData>
</file>

<file path=customXml/item2.xml><?xml version="1.0" encoding="utf-8"?>
<rootClass>
  <codeData xmlns="urn:rootClass:codeData">98CC7C9F8495F60844C05AE9235282DD70E46F80E53A4A5DBC9FBCCF424447B8EE50FA71A429AAC1154B05167B8DFF177ADD7B8CFE070879ADAE98CC004689E574908D9385948889F96ED82A0F62A5F8182A37483AAC114485A475C574FA117190C48FF157AAED2160E3718285898A8ED035E27482C81DBA3AEA20A48998FB1375C794E75A5CBFC3DB62DE</codeData>
</rootClas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0C8D8F-149D-4241-9F87-185FB0E1D2B0}">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2621</Words>
  <Characters>2843</Characters>
  <Lines>233</Lines>
  <Paragraphs>79</Paragraphs>
  <TotalTime>153</TotalTime>
  <ScaleCrop>false</ScaleCrop>
  <LinksUpToDate>false</LinksUpToDate>
  <CharactersWithSpaces>2861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2025-02-12T07:44:00Z</dcterms:created>
  <dc:creator>Laura Soto Portillo</dc:creator>
  <cp:lastModifiedBy>欢喜葡萄</cp:lastModifiedBy>
  <cp:lastPrinted>2025-02-12T07:43:00Z</cp:lastPrinted>
  <dcterms:modified xsi:type="dcterms:W3CDTF">2025-02-14T05:47:14Z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2025-01-23T00:00:00Z</vt:filetime>
  </property>
  <property fmtid="{D5CDD505-2E9C-101B-9397-08002B2CF9AE}" pid="3" name="Creator">
    <vt:lpwstr>Microsoft® Word para Microsoft 365</vt:lpwstr>
  </property>
  <property fmtid="{D5CDD505-2E9C-101B-9397-08002B2CF9AE}" pid="4" name="LastSaved">
    <vt:filetime>2025-02-12T00:00:00Z</vt:filetime>
  </property>
  <property fmtid="{D5CDD505-2E9C-101B-9397-08002B2CF9AE}" pid="5" name="KSOTemplateDocerSaveRecord">
    <vt:lpwstr>eyJoZGlkIjoiN2ZlMWVkNmE0ODNiM2U0OWY5MTNiMWY0OTk5NGU3NGUiLCJ1c2VySWQiOiIxMzg2NzY4MTY1In0=</vt:lpwstr>
  </property>
  <property fmtid="{D5CDD505-2E9C-101B-9397-08002B2CF9AE}" pid="6" name="KSOProductBuildVer">
    <vt:lpwstr>2052-12.1.0.19770</vt:lpwstr>
  </property>
  <property fmtid="{D5CDD505-2E9C-101B-9397-08002B2CF9AE}" pid="7" name="ICV">
    <vt:lpwstr>7C5AA08E68714CD79325D6FB1715EBAD_13</vt:lpwstr>
  </property>
</Properties>
</file>