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CAEAC">
      <w:pPr>
        <w:pStyle w:val="2"/>
        <w:rPr>
          <w:sz w:val="20"/>
        </w:rPr>
      </w:pPr>
    </w:p>
    <w:p w14:paraId="5E902DA3">
      <w:pPr>
        <w:pStyle w:val="2"/>
        <w:rPr>
          <w:sz w:val="20"/>
        </w:rPr>
      </w:pPr>
    </w:p>
    <w:p w14:paraId="568221D1">
      <w:pPr>
        <w:pStyle w:val="2"/>
        <w:spacing w:before="6"/>
        <w:rPr>
          <w:sz w:val="16"/>
        </w:rPr>
      </w:pPr>
    </w:p>
    <w:p w14:paraId="184EE78A">
      <w:pPr>
        <w:spacing w:before="93"/>
        <w:ind w:left="2790" w:right="3777"/>
        <w:rPr>
          <w:rFonts w:ascii="Arial"/>
          <w:sz w:val="23"/>
          <w:lang w:eastAsia="zh-CN"/>
        </w:rPr>
      </w:pPr>
      <w:r>
        <w:rPr>
          <w:lang w:val="en-US" w:eastAsia="zh-CN"/>
        </w:rPr>
        <w:drawing>
          <wp:anchor distT="0" distB="0" distL="0" distR="0" simplePos="0" relativeHeight="251659264" behindDoc="0" locked="0" layoutInCell="1" allowOverlap="1">
            <wp:simplePos x="0" y="0"/>
            <wp:positionH relativeFrom="page">
              <wp:posOffset>908685</wp:posOffset>
            </wp:positionH>
            <wp:positionV relativeFrom="paragraph">
              <wp:posOffset>-410845</wp:posOffset>
            </wp:positionV>
            <wp:extent cx="1591310" cy="780415"/>
            <wp:effectExtent l="0" t="0" r="0" b="0"/>
            <wp:wrapNone/>
            <wp:docPr id="1" name="image1.jpeg" descr="40F75CE0-DBCA-4DBA-BE21-8B3EF410285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40F75CE0-DBCA-4DBA-BE21-8B3EF4102852 "/>
                    <pic:cNvPicPr>
                      <a:picLocks noChangeAspect="1"/>
                    </pic:cNvPicPr>
                  </pic:nvPicPr>
                  <pic:blipFill>
                    <a:blip r:embed="rId8" cstate="print"/>
                    <a:stretch>
                      <a:fillRect/>
                    </a:stretch>
                  </pic:blipFill>
                  <pic:spPr>
                    <a:xfrm>
                      <a:off x="0" y="0"/>
                      <a:ext cx="1590999" cy="780256"/>
                    </a:xfrm>
                    <a:prstGeom prst="rect">
                      <a:avLst/>
                    </a:prstGeom>
                  </pic:spPr>
                </pic:pic>
              </a:graphicData>
            </a:graphic>
          </wp:anchor>
        </w:drawing>
      </w:r>
      <w:r>
        <w:rPr>
          <w:rFonts w:hint="eastAsia" w:ascii="宋体" w:hAnsi="宋体" w:eastAsia="宋体" w:cs="宋体"/>
          <w:sz w:val="23"/>
          <w:szCs w:val="23"/>
          <w:lang w:eastAsia="zh-CN"/>
        </w:rPr>
        <w:t>欧盟委员会</w:t>
      </w:r>
    </w:p>
    <w:p w14:paraId="38376928">
      <w:pPr>
        <w:pStyle w:val="2"/>
        <w:rPr>
          <w:rFonts w:ascii="Arial"/>
          <w:sz w:val="20"/>
          <w:lang w:eastAsia="zh-CN"/>
        </w:rPr>
      </w:pPr>
    </w:p>
    <w:p w14:paraId="5D55053A">
      <w:pPr>
        <w:pStyle w:val="2"/>
        <w:rPr>
          <w:rFonts w:ascii="Arial"/>
          <w:sz w:val="20"/>
          <w:lang w:eastAsia="zh-CN"/>
        </w:rPr>
      </w:pPr>
    </w:p>
    <w:p w14:paraId="0436D355">
      <w:pPr>
        <w:pStyle w:val="2"/>
        <w:rPr>
          <w:rFonts w:ascii="Arial"/>
          <w:sz w:val="20"/>
          <w:lang w:eastAsia="zh-CN"/>
        </w:rPr>
      </w:pPr>
    </w:p>
    <w:p w14:paraId="55D8311E">
      <w:pPr>
        <w:pStyle w:val="2"/>
        <w:spacing w:before="9"/>
        <w:rPr>
          <w:rFonts w:ascii="Arial"/>
          <w:sz w:val="28"/>
          <w:lang w:eastAsia="zh-CN"/>
        </w:rPr>
      </w:pPr>
      <w:r>
        <w:pict>
          <v:group id="docshapegroup3" o:spid="_x0000_s1030" o:spt="203" style="position:absolute;left:0pt;margin-left:83.8pt;margin-top:17.75pt;height:448.85pt;width:429.45pt;mso-position-horizontal-relative:page;mso-wrap-distance-bottom:0pt;mso-wrap-distance-top:0pt;z-index:-251649024;mso-width-relative:page;mso-height-relative:page;" coordorigin="1676,355" coordsize="8589,8977">
            <o:lock v:ext="edit"/>
            <v:shape id="docshape4" o:spid="_x0000_s1036" o:spt="100" style="position:absolute;left:1902;top:650;height:8176;width:7759;" fillcolor="#C0C0C0" filled="t" stroked="f" coordorigin="1902,650" coordsize="7759,8176" adj=",," path="m5032,7922l5025,7850,5011,7775,4988,7694,4956,7606,4914,7511,4887,7454,4855,7395,4820,7333,4781,7269,4737,7203,4690,7135,4687,7129,4687,7737,4686,7796,4678,7855,4660,7914,4628,7974,4585,8035,4528,8097,4259,8365,2362,6468,2626,6203,2699,6137,2767,6088,2832,6055,2893,6039,2950,6036,3014,6043,3084,6058,3160,6083,3242,6117,3330,6160,3381,6189,3434,6222,3489,6259,3545,6299,3604,6344,3664,6392,3727,6445,3791,6502,3857,6562,3925,6627,3994,6695,4063,6765,4128,6833,4189,6900,4246,6964,4300,7027,4350,7089,4397,7148,4440,7206,4492,7281,4538,7354,4577,7424,4611,7490,4639,7554,4662,7614,4679,7676,4687,7737,4687,7129,4639,7064,4597,7007,4552,6950,4505,6892,4455,6834,4403,6774,4349,6714,4292,6653,4233,6591,4171,6529,4111,6469,4051,6412,3992,6357,3933,6303,3874,6252,3816,6203,3758,6156,3701,6110,3644,6067,3601,6036,3587,6026,3531,5986,3455,5937,3380,5892,3306,5851,3234,5815,3163,5783,3093,5755,3025,5732,2958,5712,2878,5695,2801,5687,2729,5689,2660,5700,2596,5719,2537,5746,2474,5787,2407,5841,2336,5908,1902,6341,4386,8825,4840,8371,4845,8365,4893,8313,4938,8253,4974,8191,5000,8126,5019,8060,5029,7992,5032,7922xm6768,6443l5891,5995,5873,5986,5787,5943,5704,5905,5624,5871,5548,5841,5475,5816,5405,5794,5355,5782,5301,5775,5243,5771,5180,5770,5214,5704,5238,5635,5252,5566,5258,5494,5254,5422,5241,5347,5218,5272,5191,5205,5160,5139,5123,5072,5081,5005,5033,4939,4980,4872,4931,4815,4931,5357,4927,5414,4913,5470,4886,5527,4847,5583,4796,5640,4438,5998,3616,5177,4014,4778,4072,4729,4133,4696,4196,4677,4263,4674,4333,4686,4404,4712,4475,4747,4546,4792,4617,4846,4687,4912,4744,4972,4794,5035,4838,5100,4876,5167,4905,5234,4924,5297,4931,5357,4931,4815,4922,4806,4859,4740,4800,4683,4790,4674,4740,4630,4680,4580,4619,4534,4558,4492,4495,4453,4432,4418,4346,4376,4265,4346,4190,4327,4120,4319,4055,4320,3993,4335,3930,4361,3865,4399,3800,4449,3733,4510,3175,5069,5659,7552,5825,7386,4722,6283,4915,6090,4946,6060,4974,6037,4998,6020,5020,6009,5050,6000,5065,5998,5084,5995,5122,5995,5163,5998,5210,6008,5267,6024,5335,6048,5413,6080,5472,6106,5538,6137,5612,6171,5692,6210,5780,6254,6559,6652,6768,6443xm7966,5245l7336,4829,6558,4320,6558,4613,6131,5040,5587,4240,5541,4173,5492,4103,5443,4034,5393,3966,5343,3898,5292,3830,5240,3763,5188,3697,5135,3631,5187,3670,5244,3711,5368,3800,5580,3948,6558,4613,6558,4320,5505,3631,4967,3276,4788,3456,4832,3522,6788,6423,6965,6246,6351,5356,6667,5040,6877,4829,7776,5435,7966,5245xm8275,4936l7146,3808,7439,3515,7737,3217,7444,2924,6853,3515,6084,2746,6767,2063,6474,1770,5624,2619,8108,5103,8275,4936xm9661,3550l7470,1360,7887,943,7593,650,6596,1648,6889,1941,7303,1526,9494,3717,9661,3550xe">
              <v:path arrowok="t" o:connecttype="segments"/>
              <v:fill on="t" opacity="32896f" focussize="0,0"/>
              <v:stroke on="f" joinstyle="round"/>
              <v:imagedata o:title=""/>
              <o:lock v:ext="edit"/>
            </v:shape>
            <v:shape id="docshape5" o:spid="_x0000_s1035" style="position:absolute;left:1690;top:8210;height:631;width:8556;" stroked="f" coordorigin="1691,8211" coordsize="8556,631" path="m10246,8211l1691,8211,1691,8565,1691,8841,10246,8841,10246,8565,10246,8211xe">
              <v:path arrowok="t"/>
              <v:fill focussize="0,0"/>
              <v:stroke on="f"/>
              <v:imagedata o:title=""/>
              <o:lock v:ext="edit"/>
            </v:shape>
            <v:shape id="docshape6" o:spid="_x0000_s1034" o:spt="202" type="#_x0000_t202" style="position:absolute;left:6533;top:354;height:1092;width:3731;" filled="f" stroked="f" coordsize="21600,21600">
              <v:path/>
              <v:fill on="f" focussize="0,0"/>
              <v:stroke on="f" joinstyle="miter"/>
              <v:imagedata o:title=""/>
              <o:lock v:ext="edit"/>
              <v:textbox inset="0mm,0mm,0mm,0mm">
                <w:txbxContent>
                  <w:p w14:paraId="6BD77741">
                    <w:pPr>
                      <w:ind w:right="605"/>
                      <w:rPr>
                        <w:sz w:val="24"/>
                        <w:lang w:val="nl-NL" w:eastAsia="zh-CN"/>
                      </w:rPr>
                    </w:pPr>
                    <w:r>
                      <w:rPr>
                        <w:rFonts w:hint="eastAsia" w:ascii="宋体" w:hAnsi="宋体" w:eastAsia="宋体" w:cs="宋体"/>
                        <w:sz w:val="24"/>
                        <w:szCs w:val="24"/>
                        <w:lang w:val="nl-NL" w:eastAsia="zh-CN"/>
                      </w:rPr>
                      <w:t>布鲁塞尔，</w:t>
                    </w:r>
                    <w:r>
                      <w:rPr>
                        <w:sz w:val="24"/>
                        <w:szCs w:val="24"/>
                        <w:lang w:val="nl-NL" w:eastAsia="zh-CN"/>
                      </w:rPr>
                      <w:t>XXX</w:t>
                    </w:r>
                    <w:r>
                      <w:rPr>
                        <w:rFonts w:hint="eastAsia" w:ascii="宋体" w:hAnsi="宋体" w:eastAsia="宋体" w:cs="宋体"/>
                        <w:sz w:val="24"/>
                        <w:szCs w:val="24"/>
                        <w:lang w:val="nl-NL" w:eastAsia="zh-CN"/>
                      </w:rPr>
                      <w:t>计划</w:t>
                    </w:r>
                    <w:r>
                      <w:rPr>
                        <w:sz w:val="24"/>
                        <w:szCs w:val="24"/>
                        <w:lang w:val="nl-NL" w:eastAsia="zh-CN"/>
                      </w:rPr>
                      <w:t>/2024/2759</w:t>
                    </w:r>
                  </w:p>
                  <w:p w14:paraId="22B548EA">
                    <w:pPr>
                      <w:spacing w:line="275" w:lineRule="exact"/>
                      <w:rPr>
                        <w:sz w:val="24"/>
                        <w:lang w:val="nl-NL"/>
                      </w:rPr>
                    </w:pPr>
                    <w:r>
                      <w:rPr>
                        <w:w w:val="95"/>
                        <w:sz w:val="24"/>
                        <w:lang w:val="nl-NL"/>
                      </w:rPr>
                      <w:t>(POOL/D4/2024/2759/2759-</w:t>
                    </w:r>
                    <w:r>
                      <w:rPr>
                        <w:spacing w:val="-2"/>
                        <w:sz w:val="24"/>
                        <w:lang w:val="nl-NL"/>
                      </w:rPr>
                      <w:t>EN.docx)</w:t>
                    </w:r>
                  </w:p>
                  <w:p w14:paraId="5A3CD498">
                    <w:pPr>
                      <w:spacing w:line="276" w:lineRule="exact"/>
                      <w:rPr>
                        <w:sz w:val="24"/>
                      </w:rPr>
                    </w:pPr>
                    <w:r>
                      <w:rPr>
                        <w:sz w:val="24"/>
                        <w:szCs w:val="24"/>
                      </w:rPr>
                      <w:t>[…]</w:t>
                    </w:r>
                    <w:r>
                      <w:rPr>
                        <w:rFonts w:hint="eastAsia" w:ascii="宋体" w:hAnsi="宋体" w:eastAsia="宋体" w:cs="宋体"/>
                        <w:sz w:val="24"/>
                        <w:szCs w:val="24"/>
                      </w:rPr>
                      <w:t>（</w:t>
                    </w:r>
                    <w:r>
                      <w:rPr>
                        <w:sz w:val="24"/>
                        <w:szCs w:val="24"/>
                      </w:rPr>
                      <w:t>2025</w:t>
                    </w:r>
                    <w:r>
                      <w:rPr>
                        <w:rFonts w:hint="eastAsia" w:ascii="宋体" w:hAnsi="宋体" w:eastAsia="宋体" w:cs="宋体"/>
                        <w:sz w:val="24"/>
                        <w:szCs w:val="24"/>
                      </w:rPr>
                      <w:t>）</w:t>
                    </w:r>
                    <w:r>
                      <w:rPr>
                        <w:sz w:val="24"/>
                        <w:szCs w:val="24"/>
                      </w:rPr>
                      <w:t>XXX</w:t>
                    </w:r>
                    <w:r>
                      <w:rPr>
                        <w:rFonts w:hint="eastAsia" w:ascii="宋体" w:hAnsi="宋体" w:eastAsia="宋体" w:cs="宋体"/>
                        <w:sz w:val="24"/>
                        <w:szCs w:val="24"/>
                      </w:rPr>
                      <w:t>草案</w:t>
                    </w:r>
                  </w:p>
                </w:txbxContent>
              </v:textbox>
            </v:shape>
            <v:shape id="docshape7" o:spid="_x0000_s1033" o:spt="202" type="#_x0000_t202" style="position:absolute;left:1702;top:2901;height:1811;width:8549;" filled="f" stroked="f" coordsize="21600,21600">
              <v:path/>
              <v:fill on="f" focussize="0,0"/>
              <v:stroke on="f" joinstyle="miter"/>
              <v:imagedata o:title=""/>
              <o:lock v:ext="edit"/>
              <v:textbox inset="0mm,0mm,0mm,0mm">
                <w:txbxContent>
                  <w:p w14:paraId="061308F5">
                    <w:pPr>
                      <w:spacing w:line="265" w:lineRule="exact"/>
                      <w:ind w:left="4" w:right="21"/>
                      <w:jc w:val="center"/>
                      <w:rPr>
                        <w:b/>
                        <w:sz w:val="24"/>
                        <w:lang w:eastAsia="zh-CN"/>
                      </w:rPr>
                    </w:pPr>
                    <w:r>
                      <w:rPr>
                        <w:rFonts w:hint="eastAsia" w:ascii="宋体" w:hAnsi="宋体" w:eastAsia="宋体" w:cs="宋体"/>
                        <w:b/>
                        <w:sz w:val="24"/>
                        <w:szCs w:val="24"/>
                        <w:lang w:eastAsia="zh-CN"/>
                      </w:rPr>
                      <w:t>欧盟委员会实施条例（欧盟）</w:t>
                    </w:r>
                    <w:r>
                      <w:rPr>
                        <w:b/>
                        <w:sz w:val="24"/>
                        <w:szCs w:val="24"/>
                        <w:lang w:eastAsia="zh-CN"/>
                      </w:rPr>
                      <w:t>…/...</w:t>
                    </w:r>
                  </w:p>
                  <w:p w14:paraId="36C52A79">
                    <w:pPr>
                      <w:spacing w:before="2"/>
                      <w:rPr>
                        <w:b/>
                        <w:sz w:val="31"/>
                        <w:lang w:eastAsia="zh-CN"/>
                      </w:rPr>
                    </w:pPr>
                  </w:p>
                  <w:p w14:paraId="7D0CEA05">
                    <w:pPr>
                      <w:ind w:left="3" w:right="24"/>
                      <w:jc w:val="center"/>
                      <w:rPr>
                        <w:b/>
                        <w:sz w:val="24"/>
                      </w:rPr>
                    </w:pPr>
                    <w:r>
                      <w:rPr>
                        <w:b/>
                        <w:color w:val="FF0000"/>
                        <w:sz w:val="24"/>
                        <w:szCs w:val="24"/>
                      </w:rPr>
                      <w:t>XXX</w:t>
                    </w:r>
                    <w:r>
                      <w:rPr>
                        <w:rFonts w:hint="eastAsia" w:ascii="宋体" w:hAnsi="宋体" w:eastAsia="宋体" w:cs="宋体"/>
                        <w:b/>
                        <w:color w:val="FF0000"/>
                        <w:sz w:val="24"/>
                        <w:szCs w:val="24"/>
                      </w:rPr>
                      <w:t>的</w:t>
                    </w:r>
                  </w:p>
                  <w:p w14:paraId="1668C3F7">
                    <w:pPr>
                      <w:spacing w:before="2"/>
                      <w:rPr>
                        <w:b/>
                        <w:sz w:val="31"/>
                      </w:rPr>
                    </w:pPr>
                  </w:p>
                  <w:p w14:paraId="6935B9E8">
                    <w:pPr>
                      <w:ind w:left="4" w:right="24"/>
                      <w:jc w:val="center"/>
                      <w:rPr>
                        <w:b/>
                        <w:sz w:val="24"/>
                      </w:rPr>
                    </w:pPr>
                    <w:r>
                      <w:rPr>
                        <w:rFonts w:hint="eastAsia" w:ascii="宋体" w:hAnsi="宋体" w:eastAsia="宋体" w:cs="宋体"/>
                        <w:b/>
                        <w:sz w:val="24"/>
                        <w:szCs w:val="24"/>
                      </w:rPr>
                      <w:t>修订关于物质酮洛芬在动物源性食品中最大残留限量分类的法规</w:t>
                    </w:r>
                    <w:r>
                      <w:rPr>
                        <w:b/>
                        <w:sz w:val="24"/>
                        <w:szCs w:val="24"/>
                      </w:rPr>
                      <w:t>(EU)No37/2010</w:t>
                    </w:r>
                  </w:p>
                </w:txbxContent>
              </v:textbox>
            </v:shape>
            <v:shape id="docshape8" o:spid="_x0000_s1032" o:spt="202" type="#_x0000_t202" style="position:absolute;left:4669;top:5440;height:266;width:2612;" filled="f" stroked="f" coordsize="21600,21600">
              <v:path/>
              <v:fill on="f" focussize="0,0"/>
              <v:stroke on="f" joinstyle="miter"/>
              <v:imagedata o:title=""/>
              <o:lock v:ext="edit"/>
              <v:textbox inset="0mm,0mm,0mm,0mm">
                <w:txbxContent>
                  <w:p w14:paraId="213D2469">
                    <w:pPr>
                      <w:spacing w:line="265" w:lineRule="exact"/>
                      <w:ind w:right="-466" w:rightChars="-212"/>
                      <w:rPr>
                        <w:sz w:val="24"/>
                        <w:lang w:eastAsia="zh-CN"/>
                      </w:rPr>
                    </w:pPr>
                    <w:r>
                      <w:rPr>
                        <w:rFonts w:hint="eastAsia" w:ascii="宋体" w:hAnsi="宋体" w:eastAsia="宋体" w:cs="宋体"/>
                        <w:sz w:val="24"/>
                        <w:szCs w:val="24"/>
                        <w:lang w:eastAsia="zh-CN"/>
                      </w:rPr>
                      <w:t>（与欧洲经济区相关的）文本）</w:t>
                    </w:r>
                  </w:p>
                </w:txbxContent>
              </v:textbox>
            </v:shape>
            <v:shape id="docshape9" o:spid="_x0000_s1031" o:spt="202" type="#_x0000_t202" style="position:absolute;left:1683;top:8203;height:1122;width:8571;" filled="f" coordsize="21600,21600">
              <v:path/>
              <v:fill on="f" focussize="0,0"/>
              <v:stroke weight="0.720236220472441pt" joinstyle="miter"/>
              <v:imagedata o:title=""/>
              <o:lock v:ext="edit"/>
              <v:textbox inset="0mm,0mm,0mm,0mm">
                <w:txbxContent>
                  <w:p w14:paraId="30FA158D">
                    <w:pPr>
                      <w:spacing w:before="77"/>
                      <w:ind w:left="167" w:right="165"/>
                      <w:jc w:val="both"/>
                      <w:rPr>
                        <w:i/>
                        <w:sz w:val="24"/>
                        <w:lang w:eastAsia="zh-CN"/>
                      </w:rPr>
                    </w:pPr>
                    <w:r>
                      <w:rPr>
                        <w:rFonts w:hint="eastAsia" w:ascii="宋体" w:hAnsi="宋体" w:eastAsia="宋体" w:cs="宋体"/>
                        <w:i/>
                        <w:sz w:val="24"/>
                        <w:szCs w:val="24"/>
                        <w:lang w:eastAsia="zh-CN"/>
                      </w:rPr>
                      <w:t>该草案尚未获得欧盟委员会的通过或认可。所表达的任何意见都是委员会服务部门的初步意见，在任何情况下都不得被视为表明委员会的正式立场。</w:t>
                    </w:r>
                  </w:p>
                </w:txbxContent>
              </v:textbox>
            </v:shape>
            <w10:wrap type="topAndBottom"/>
          </v:group>
        </w:pict>
      </w:r>
    </w:p>
    <w:p w14:paraId="79024E3E">
      <w:pPr>
        <w:rPr>
          <w:rFonts w:ascii="Arial"/>
          <w:sz w:val="28"/>
          <w:lang w:eastAsia="zh-CN"/>
        </w:rPr>
        <w:sectPr>
          <w:footerReference r:id="rId3" w:type="default"/>
          <w:type w:val="continuous"/>
          <w:pgSz w:w="11910" w:h="16840"/>
          <w:pgMar w:top="1460" w:right="1300" w:bottom="1240" w:left="1300" w:header="0" w:footer="1043" w:gutter="0"/>
          <w:pgNumType w:start="1"/>
          <w:cols w:space="720" w:num="1"/>
        </w:sectPr>
      </w:pPr>
    </w:p>
    <w:p w14:paraId="277644D5">
      <w:pPr>
        <w:spacing w:before="73"/>
        <w:ind w:left="386" w:right="389"/>
        <w:jc w:val="center"/>
        <w:rPr>
          <w:b/>
          <w:sz w:val="24"/>
          <w:lang w:eastAsia="zh-CN"/>
        </w:rPr>
      </w:pPr>
      <w:r>
        <w:rPr>
          <w:rFonts w:hint="eastAsia" w:ascii="宋体" w:hAnsi="宋体" w:eastAsia="宋体" w:cs="宋体"/>
          <w:b/>
          <w:sz w:val="24"/>
          <w:szCs w:val="24"/>
          <w:lang w:eastAsia="zh-CN"/>
        </w:rPr>
        <w:t>欧盟委员会实施条例（欧盟）</w:t>
      </w:r>
      <w:r>
        <w:rPr>
          <w:b/>
          <w:sz w:val="24"/>
          <w:szCs w:val="24"/>
          <w:lang w:eastAsia="zh-CN"/>
        </w:rPr>
        <w:t>…/...</w:t>
      </w:r>
    </w:p>
    <w:p w14:paraId="3C883BAE">
      <w:pPr>
        <w:pStyle w:val="2"/>
        <w:spacing w:before="4"/>
        <w:rPr>
          <w:b/>
          <w:sz w:val="31"/>
          <w:lang w:eastAsia="zh-CN"/>
        </w:rPr>
      </w:pPr>
    </w:p>
    <w:p w14:paraId="75874BBF">
      <w:pPr>
        <w:ind w:left="384" w:right="389"/>
        <w:jc w:val="center"/>
        <w:rPr>
          <w:b/>
          <w:sz w:val="24"/>
          <w:lang w:eastAsia="zh-CN"/>
        </w:rPr>
      </w:pPr>
      <w:r>
        <w:rPr>
          <w:b/>
          <w:color w:val="FF0000"/>
          <w:sz w:val="24"/>
          <w:szCs w:val="24"/>
          <w:lang w:eastAsia="zh-CN"/>
        </w:rPr>
        <w:t>XXX</w:t>
      </w:r>
      <w:r>
        <w:rPr>
          <w:rFonts w:hint="eastAsia" w:ascii="宋体" w:hAnsi="宋体" w:eastAsia="宋体" w:cs="宋体"/>
          <w:b/>
          <w:color w:val="FF0000"/>
          <w:sz w:val="24"/>
          <w:szCs w:val="24"/>
          <w:lang w:eastAsia="zh-CN"/>
        </w:rPr>
        <w:t>的</w:t>
      </w:r>
    </w:p>
    <w:p w14:paraId="74848CCF">
      <w:pPr>
        <w:pStyle w:val="2"/>
        <w:spacing w:before="3"/>
        <w:rPr>
          <w:b/>
          <w:sz w:val="31"/>
          <w:lang w:eastAsia="zh-CN"/>
        </w:rPr>
      </w:pPr>
    </w:p>
    <w:p w14:paraId="57DD0F27">
      <w:pPr>
        <w:ind w:left="388" w:right="389"/>
        <w:jc w:val="center"/>
        <w:rPr>
          <w:b/>
          <w:sz w:val="24"/>
          <w:lang w:eastAsia="zh-CN"/>
        </w:rPr>
      </w:pPr>
      <w:r>
        <w:rPr>
          <w:rFonts w:hint="eastAsia" w:ascii="宋体" w:hAnsi="宋体" w:eastAsia="宋体" w:cs="宋体"/>
          <w:b/>
          <w:sz w:val="24"/>
          <w:szCs w:val="24"/>
          <w:lang w:eastAsia="zh-CN"/>
        </w:rPr>
        <w:t>修订关于物质酮洛芬在动物源性食品中最大残留限量分类的法规</w:t>
      </w:r>
      <w:r>
        <w:rPr>
          <w:b/>
          <w:sz w:val="24"/>
          <w:szCs w:val="24"/>
          <w:lang w:eastAsia="zh-CN"/>
        </w:rPr>
        <w:t>(EU)No37/2010</w:t>
      </w:r>
    </w:p>
    <w:p w14:paraId="33B58BAA">
      <w:pPr>
        <w:pStyle w:val="2"/>
        <w:spacing w:before="4"/>
        <w:rPr>
          <w:b/>
          <w:sz w:val="31"/>
          <w:lang w:eastAsia="zh-CN"/>
        </w:rPr>
      </w:pPr>
    </w:p>
    <w:p w14:paraId="7DB9A539">
      <w:pPr>
        <w:pStyle w:val="2"/>
        <w:ind w:left="387" w:right="389"/>
        <w:jc w:val="center"/>
        <w:rPr>
          <w:lang w:eastAsia="zh-CN"/>
        </w:rPr>
      </w:pPr>
      <w:r>
        <w:pict>
          <v:shape id="docshape13" o:spid="_x0000_s1029" o:spt="100" style="position:absolute;left:0pt;margin-left:95.1pt;margin-top:20.75pt;height:408.8pt;width:387.95pt;mso-position-horizontal-relative:page;z-index:-251654144;mso-width-relative:page;mso-height-relative:page;" fillcolor="#C0C0C0" filled="t" stroked="f" coordorigin="1902,415" coordsize="7759,8176" adj=",," path="m5032,7687l5025,7615,5011,7540,4988,7458,4956,7370,4914,7275,4887,7218,4855,7159,4820,7098,4781,7034,4737,6968,4690,6899,4687,6894,4687,7501,4686,7561,4678,7620,4660,7679,4628,7738,4585,7799,4528,7861,4259,8130,2362,6232,2626,5968,2699,5902,2767,5852,2832,5819,2893,5803,2950,5801,3014,5807,3084,5823,3160,5847,3242,5881,3330,5925,3381,5954,3434,5986,3489,6023,3545,6064,3604,6108,3664,6157,3727,6210,3791,6266,3857,6327,3925,6391,3994,6460,4063,6530,4128,6598,4189,6664,4246,6729,4300,6792,4350,6853,4397,6913,4440,6971,4492,7046,4538,7119,4577,7188,4611,7255,4639,7318,4662,7378,4679,7441,4687,7501,4687,6894,4639,6828,4597,6772,4552,6715,4505,6657,4455,6598,4403,6539,4349,6478,4292,6417,4233,6356,4171,6293,4111,6234,4051,6177,3992,6121,3933,6068,3874,6017,3816,5968,3758,5920,3701,5875,3644,5832,3601,5801,3587,5790,3531,5751,3455,5701,3380,5656,3306,5616,3234,5579,3163,5547,3093,5520,3025,5496,2958,5477,2878,5460,2801,5452,2729,5454,2660,5464,2596,5484,2537,5511,2474,5551,2407,5605,2336,5672,1902,6106,4386,8590,4840,8135,4845,8130,4893,8077,4938,8017,4974,7955,5000,7890,5019,7824,5029,7756,5032,7687xm6768,6207l5891,5759,5873,5750,5787,5708,5704,5670,5624,5636,5548,5606,5475,5580,5405,5558,5355,5547,5301,5540,5243,5536,5180,5535,5214,5468,5238,5400,5252,5330,5258,5259,5254,5186,5241,5112,5218,5037,5191,4970,5160,4903,5123,4837,5081,4770,5033,4703,4980,4637,4931,4580,4931,5122,4927,5179,4913,5235,4886,5291,4847,5348,4796,5405,4438,5763,3616,4941,4014,4543,4072,4494,4133,4460,4196,4442,4263,4438,4333,4451,4404,4476,4475,4511,4546,4556,4617,4611,4687,4676,4744,4737,4794,4800,4838,4865,4876,4932,4905,4998,4924,5062,4931,5122,4931,4580,4922,4571,4859,4504,4800,4447,4790,4438,4740,4394,4680,4345,4619,4299,4558,4257,4495,4218,4432,4182,4346,4141,4265,4111,4190,4092,4120,4083,4055,4085,3993,4099,3930,4125,3865,4163,3800,4213,3733,4275,3175,4833,5659,7317,5825,7150,4722,6047,4915,5854,4946,5825,4974,5801,4998,5784,5020,5773,5050,5765,5065,5763,5084,5760,5122,5759,5163,5763,5210,5772,5267,5789,5335,5813,5413,5845,5472,5871,5538,5901,5612,5936,5692,5975,5780,6019,6559,6417,6768,6207xm7966,5009l7336,4594,6558,4085,6558,4378,6131,4804,5587,4004,5541,3938,5492,3868,5443,3799,5393,3730,5343,3662,5292,3595,5240,3528,5188,3461,5135,3395,5187,3435,5244,3476,5368,3564,5580,3712,6558,4378,6558,4085,5505,3395,4967,3041,4788,3220,4832,3286,6788,6188,6965,6011,6351,5120,6667,4804,6877,4594,7776,5199,7966,5009xm8275,4701l7146,3573,7439,3280,7737,2982,7444,2689,6853,3280,6084,2510,6767,1828,6474,1535,5624,2384,8108,4868,8275,4701xm9661,3315l7470,1124,7887,708,7593,415,6596,1413,6889,1706,7303,1291,9494,3481,9661,3315xe">
            <v:path arrowok="t" o:connecttype="segments"/>
            <v:fill on="t" opacity="32896f" focussize="0,0"/>
            <v:stroke on="f" joinstyle="round"/>
            <v:imagedata o:title=""/>
            <o:lock v:ext="edit"/>
          </v:shape>
        </w:pict>
      </w:r>
      <w:r>
        <w:rPr>
          <w:rFonts w:hint="eastAsia" w:ascii="宋体" w:hAnsi="宋体" w:eastAsia="宋体" w:cs="宋体"/>
          <w:lang w:eastAsia="zh-CN"/>
        </w:rPr>
        <w:t>（与欧洲经济区相关的文本）</w:t>
      </w:r>
    </w:p>
    <w:p w14:paraId="12B82073">
      <w:pPr>
        <w:pStyle w:val="2"/>
        <w:rPr>
          <w:sz w:val="26"/>
          <w:lang w:eastAsia="zh-CN"/>
        </w:rPr>
      </w:pPr>
    </w:p>
    <w:p w14:paraId="4BC8CA7C">
      <w:pPr>
        <w:pStyle w:val="2"/>
        <w:spacing w:before="2"/>
        <w:rPr>
          <w:sz w:val="26"/>
          <w:lang w:eastAsia="zh-CN"/>
        </w:rPr>
      </w:pPr>
    </w:p>
    <w:p w14:paraId="6F73AAF0">
      <w:pPr>
        <w:pStyle w:val="2"/>
        <w:ind w:left="115"/>
        <w:jc w:val="both"/>
        <w:rPr>
          <w:lang w:eastAsia="zh-CN"/>
        </w:rPr>
      </w:pPr>
      <w:r>
        <w:rPr>
          <w:rFonts w:hint="eastAsia" w:ascii="宋体" w:hAnsi="宋体" w:eastAsia="宋体" w:cs="宋体"/>
          <w:lang w:eastAsia="zh-CN"/>
        </w:rPr>
        <w:t>欧盟委员会，</w:t>
      </w:r>
    </w:p>
    <w:p w14:paraId="623F98A0">
      <w:pPr>
        <w:pStyle w:val="2"/>
        <w:spacing w:before="120"/>
        <w:ind w:left="115"/>
        <w:jc w:val="both"/>
        <w:rPr>
          <w:lang w:eastAsia="zh-CN"/>
        </w:rPr>
      </w:pPr>
      <w:r>
        <w:rPr>
          <w:rFonts w:hint="eastAsia" w:ascii="宋体" w:hAnsi="宋体" w:eastAsia="宋体" w:cs="宋体"/>
          <w:lang w:eastAsia="zh-CN"/>
        </w:rPr>
        <w:t>考虑到《欧盟运作条约》，</w:t>
      </w:r>
    </w:p>
    <w:p w14:paraId="19F53373">
      <w:pPr>
        <w:pStyle w:val="2"/>
        <w:spacing w:before="120"/>
        <w:ind w:left="115" w:right="116"/>
        <w:jc w:val="both"/>
        <w:rPr>
          <w:lang w:eastAsia="zh-CN"/>
        </w:rPr>
      </w:pPr>
      <w:r>
        <w:rPr>
          <w:rFonts w:hint="eastAsia" w:ascii="宋体" w:hAnsi="宋体" w:eastAsia="宋体" w:cs="宋体"/>
          <w:lang w:eastAsia="zh-CN"/>
        </w:rPr>
        <w:t>考虑到欧洲议会和理事会</w:t>
      </w:r>
      <w:r>
        <w:rPr>
          <w:lang w:eastAsia="zh-CN"/>
        </w:rPr>
        <w:t>2009</w:t>
      </w:r>
      <w:r>
        <w:rPr>
          <w:rFonts w:hint="eastAsia" w:ascii="宋体" w:hAnsi="宋体" w:eastAsia="宋体" w:cs="宋体"/>
          <w:lang w:eastAsia="zh-CN"/>
        </w:rPr>
        <w:t>年</w:t>
      </w:r>
      <w:r>
        <w:rPr>
          <w:lang w:eastAsia="zh-CN"/>
        </w:rPr>
        <w:t>5</w:t>
      </w:r>
      <w:r>
        <w:rPr>
          <w:rFonts w:hint="eastAsia" w:ascii="宋体" w:hAnsi="宋体" w:eastAsia="宋体" w:cs="宋体"/>
          <w:lang w:eastAsia="zh-CN"/>
        </w:rPr>
        <w:t>月</w:t>
      </w:r>
      <w:r>
        <w:rPr>
          <w:lang w:eastAsia="zh-CN"/>
        </w:rPr>
        <w:t>6</w:t>
      </w:r>
      <w:r>
        <w:rPr>
          <w:rFonts w:hint="eastAsia" w:ascii="宋体" w:hAnsi="宋体" w:eastAsia="宋体" w:cs="宋体"/>
          <w:lang w:eastAsia="zh-CN"/>
        </w:rPr>
        <w:t>日法规</w:t>
      </w:r>
      <w:r>
        <w:rPr>
          <w:lang w:eastAsia="zh-CN"/>
        </w:rPr>
        <w:t>(EC)No470/2009</w:t>
      </w:r>
      <w:r>
        <w:rPr>
          <w:rFonts w:hint="eastAsia" w:ascii="宋体" w:hAnsi="宋体" w:eastAsia="宋体" w:cs="宋体"/>
          <w:lang w:eastAsia="zh-CN"/>
        </w:rPr>
        <w:t>规定共同体制定动物源性食品药理活性物质残留限量的程序，撤销理事会法规</w:t>
      </w:r>
      <w:r>
        <w:rPr>
          <w:lang w:eastAsia="zh-CN"/>
        </w:rPr>
        <w:t>(EEC)No2377/90</w:t>
      </w:r>
      <w:r>
        <w:rPr>
          <w:rFonts w:hint="eastAsia" w:ascii="宋体" w:hAnsi="宋体" w:eastAsia="宋体" w:cs="宋体"/>
          <w:lang w:eastAsia="zh-CN"/>
        </w:rPr>
        <w:t>并修订欧洲议会和理事会指令</w:t>
      </w:r>
      <w:r>
        <w:rPr>
          <w:lang w:eastAsia="zh-CN"/>
        </w:rPr>
        <w:t>2001/82/EC</w:t>
      </w:r>
      <w:r>
        <w:rPr>
          <w:rFonts w:hint="eastAsia" w:ascii="宋体" w:hAnsi="宋体" w:eastAsia="宋体" w:cs="宋体"/>
          <w:lang w:eastAsia="zh-CN"/>
        </w:rPr>
        <w:t>以及欧洲议会和理事会法规</w:t>
      </w:r>
      <w:r>
        <w:rPr>
          <w:lang w:eastAsia="zh-CN"/>
        </w:rPr>
        <w:t>(EC)No726/2004</w:t>
      </w:r>
      <w:r>
        <w:fldChar w:fldCharType="begin"/>
      </w:r>
      <w:r>
        <w:instrText xml:space="preserve"> HYPERLINK \l "_bookmark0" </w:instrText>
      </w:r>
      <w:r>
        <w:fldChar w:fldCharType="separate"/>
      </w:r>
      <w:r>
        <w:rPr>
          <w:vertAlign w:val="superscript"/>
          <w:lang w:eastAsia="zh-CN"/>
        </w:rPr>
        <w:t>1</w:t>
      </w:r>
      <w:r>
        <w:rPr>
          <w:vertAlign w:val="superscript"/>
          <w:lang w:eastAsia="zh-CN"/>
        </w:rPr>
        <w:fldChar w:fldCharType="end"/>
      </w:r>
      <w:r>
        <w:rPr>
          <w:rFonts w:hint="eastAsia" w:ascii="宋体" w:hAnsi="宋体" w:eastAsia="宋体" w:cs="宋体"/>
          <w:lang w:eastAsia="zh-CN"/>
        </w:rPr>
        <w:t>特别是第</w:t>
      </w:r>
      <w:r>
        <w:rPr>
          <w:lang w:eastAsia="zh-CN"/>
        </w:rPr>
        <w:t>14</w:t>
      </w:r>
      <w:r>
        <w:rPr>
          <w:rFonts w:hint="eastAsia" w:ascii="宋体" w:hAnsi="宋体" w:eastAsia="宋体" w:cs="宋体"/>
          <w:lang w:eastAsia="zh-CN"/>
        </w:rPr>
        <w:t>条和第</w:t>
      </w:r>
      <w:r>
        <w:rPr>
          <w:lang w:eastAsia="zh-CN"/>
        </w:rPr>
        <w:t>17</w:t>
      </w:r>
      <w:r>
        <w:rPr>
          <w:rFonts w:hint="eastAsia" w:ascii="宋体" w:hAnsi="宋体" w:eastAsia="宋体" w:cs="宋体"/>
          <w:lang w:eastAsia="zh-CN"/>
        </w:rPr>
        <w:t>条，</w:t>
      </w:r>
    </w:p>
    <w:p w14:paraId="0B66204F">
      <w:pPr>
        <w:pStyle w:val="2"/>
        <w:spacing w:before="120"/>
        <w:ind w:left="116"/>
      </w:pPr>
      <w:r>
        <w:rPr>
          <w:rFonts w:hint="eastAsia" w:ascii="宋体" w:hAnsi="宋体" w:eastAsia="宋体" w:cs="宋体"/>
        </w:rPr>
        <w:t>鉴于</w:t>
      </w:r>
      <w:r>
        <w:t>:</w:t>
      </w:r>
    </w:p>
    <w:p w14:paraId="77C966F6">
      <w:pPr>
        <w:pStyle w:val="8"/>
        <w:numPr>
          <w:ilvl w:val="0"/>
          <w:numId w:val="1"/>
        </w:numPr>
        <w:tabs>
          <w:tab w:val="left" w:pos="824"/>
        </w:tabs>
        <w:jc w:val="both"/>
        <w:rPr>
          <w:sz w:val="24"/>
          <w:lang w:eastAsia="zh-CN"/>
        </w:rPr>
      </w:pPr>
      <w:r>
        <w:rPr>
          <w:rFonts w:hint="eastAsia" w:ascii="宋体" w:hAnsi="宋体" w:eastAsia="宋体" w:cs="宋体"/>
          <w:sz w:val="24"/>
          <w:szCs w:val="24"/>
          <w:lang w:eastAsia="zh-CN"/>
        </w:rPr>
        <w:t>根据法规</w:t>
      </w:r>
      <w:r>
        <w:rPr>
          <w:sz w:val="24"/>
          <w:szCs w:val="24"/>
          <w:lang w:eastAsia="zh-CN"/>
        </w:rPr>
        <w:t>(EC)No470/2009</w:t>
      </w:r>
      <w:r>
        <w:rPr>
          <w:rFonts w:hint="eastAsia" w:ascii="宋体" w:hAnsi="宋体" w:eastAsia="宋体" w:cs="宋体"/>
          <w:sz w:val="24"/>
          <w:szCs w:val="24"/>
          <w:lang w:eastAsia="zh-CN"/>
        </w:rPr>
        <w:t>，委员会拟通过法规制定欧盟食用动物兽药产品或畜牧业生物农药产品中使用的药理活性物质的最大残留限量</w:t>
      </w:r>
      <w:r>
        <w:rPr>
          <w:sz w:val="24"/>
          <w:szCs w:val="24"/>
          <w:lang w:eastAsia="zh-CN"/>
        </w:rPr>
        <w:t>('MRL')</w:t>
      </w:r>
      <w:r>
        <w:rPr>
          <w:rFonts w:hint="eastAsia" w:ascii="宋体" w:hAnsi="宋体" w:eastAsia="宋体" w:cs="宋体"/>
          <w:sz w:val="24"/>
          <w:szCs w:val="24"/>
          <w:lang w:eastAsia="zh-CN"/>
        </w:rPr>
        <w:t>。</w:t>
      </w:r>
    </w:p>
    <w:p w14:paraId="22660159">
      <w:pPr>
        <w:pStyle w:val="8"/>
        <w:numPr>
          <w:ilvl w:val="0"/>
          <w:numId w:val="1"/>
        </w:numPr>
        <w:tabs>
          <w:tab w:val="left" w:pos="824"/>
        </w:tabs>
        <w:ind w:left="823"/>
        <w:jc w:val="both"/>
        <w:rPr>
          <w:sz w:val="24"/>
          <w:lang w:eastAsia="zh-CN"/>
        </w:rPr>
      </w:pPr>
      <w:r>
        <w:rPr>
          <w:rFonts w:hint="eastAsia" w:ascii="宋体" w:hAnsi="宋体" w:eastAsia="宋体" w:cs="宋体"/>
          <w:sz w:val="24"/>
          <w:szCs w:val="24"/>
          <w:lang w:eastAsia="zh-CN"/>
        </w:rPr>
        <w:t>欧盟委员会法规</w:t>
      </w:r>
      <w:r>
        <w:rPr>
          <w:sz w:val="24"/>
          <w:szCs w:val="24"/>
          <w:lang w:eastAsia="zh-CN"/>
        </w:rPr>
        <w:t>(EU)No37/2010</w:t>
      </w:r>
      <w:r>
        <w:fldChar w:fldCharType="begin"/>
      </w:r>
      <w:r>
        <w:instrText xml:space="preserve"> HYPERLINK \l "_bookmark1" </w:instrText>
      </w:r>
      <w:r>
        <w:fldChar w:fldCharType="separate"/>
      </w:r>
      <w:r>
        <w:rPr>
          <w:sz w:val="24"/>
          <w:vertAlign w:val="superscript"/>
          <w:lang w:eastAsia="zh-CN"/>
        </w:rPr>
        <w:t>2</w:t>
      </w:r>
      <w:r>
        <w:rPr>
          <w:sz w:val="24"/>
          <w:vertAlign w:val="superscript"/>
          <w:lang w:eastAsia="zh-CN"/>
        </w:rPr>
        <w:fldChar w:fldCharType="end"/>
      </w:r>
      <w:r>
        <w:rPr>
          <w:sz w:val="24"/>
          <w:lang w:eastAsia="zh-CN"/>
        </w:rPr>
        <w:t xml:space="preserve"> </w:t>
      </w:r>
      <w:r>
        <w:rPr>
          <w:rFonts w:hint="eastAsia" w:ascii="宋体" w:hAnsi="宋体" w:eastAsia="宋体" w:cs="宋体"/>
          <w:sz w:val="24"/>
          <w:szCs w:val="24"/>
          <w:lang w:eastAsia="zh-CN"/>
        </w:rPr>
        <w:t>规定了关于动物源性食品中最大残留限量的药理活性物质及其分类。</w:t>
      </w:r>
    </w:p>
    <w:p w14:paraId="23673E13">
      <w:pPr>
        <w:pStyle w:val="8"/>
        <w:numPr>
          <w:ilvl w:val="0"/>
          <w:numId w:val="1"/>
        </w:numPr>
        <w:tabs>
          <w:tab w:val="left" w:pos="824"/>
        </w:tabs>
        <w:ind w:left="823" w:right="116"/>
        <w:jc w:val="both"/>
        <w:rPr>
          <w:sz w:val="24"/>
          <w:lang w:eastAsia="zh-CN"/>
        </w:rPr>
      </w:pPr>
      <w:r>
        <w:rPr>
          <w:rFonts w:hint="eastAsia" w:ascii="宋体" w:hAnsi="宋体" w:eastAsia="宋体" w:cs="宋体"/>
          <w:sz w:val="24"/>
          <w:szCs w:val="24"/>
          <w:lang w:eastAsia="zh-CN"/>
        </w:rPr>
        <w:t>物质酮洛芬作为牛、猪和马科物种的允许物质包括在该法规中。牛、猪和马科物种的现有条目具有</w:t>
      </w:r>
      <w:r>
        <w:rPr>
          <w:sz w:val="24"/>
          <w:szCs w:val="24"/>
          <w:lang w:eastAsia="zh-CN"/>
        </w:rPr>
        <w:t>“</w:t>
      </w:r>
      <w:r>
        <w:rPr>
          <w:rFonts w:hint="eastAsia" w:ascii="宋体" w:hAnsi="宋体" w:eastAsia="宋体" w:cs="宋体"/>
          <w:sz w:val="24"/>
          <w:szCs w:val="24"/>
          <w:lang w:eastAsia="zh-CN"/>
        </w:rPr>
        <w:t>无</w:t>
      </w:r>
      <w:r>
        <w:rPr>
          <w:sz w:val="24"/>
          <w:szCs w:val="24"/>
          <w:lang w:eastAsia="zh-CN"/>
        </w:rPr>
        <w:t>MRL</w:t>
      </w:r>
      <w:r>
        <w:rPr>
          <w:rFonts w:hint="eastAsia" w:ascii="宋体" w:hAnsi="宋体" w:eastAsia="宋体" w:cs="宋体"/>
          <w:sz w:val="24"/>
          <w:szCs w:val="24"/>
          <w:lang w:eastAsia="zh-CN"/>
        </w:rPr>
        <w:t>要求</w:t>
      </w:r>
      <w:r>
        <w:rPr>
          <w:sz w:val="24"/>
          <w:szCs w:val="24"/>
          <w:lang w:eastAsia="zh-CN"/>
        </w:rPr>
        <w:t>”</w:t>
      </w:r>
      <w:r>
        <w:rPr>
          <w:rFonts w:hint="eastAsia" w:ascii="宋体" w:hAnsi="宋体" w:eastAsia="宋体" w:cs="宋体"/>
          <w:sz w:val="24"/>
          <w:szCs w:val="24"/>
          <w:lang w:eastAsia="zh-CN"/>
        </w:rPr>
        <w:t>分类。</w:t>
      </w:r>
    </w:p>
    <w:p w14:paraId="5E831E64">
      <w:pPr>
        <w:pStyle w:val="8"/>
        <w:numPr>
          <w:ilvl w:val="0"/>
          <w:numId w:val="1"/>
        </w:numPr>
        <w:tabs>
          <w:tab w:val="left" w:pos="824"/>
        </w:tabs>
        <w:ind w:left="823"/>
        <w:jc w:val="both"/>
        <w:rPr>
          <w:sz w:val="24"/>
          <w:lang w:eastAsia="zh-CN"/>
        </w:rPr>
      </w:pPr>
      <w:r>
        <w:rPr>
          <w:sz w:val="24"/>
          <w:szCs w:val="24"/>
          <w:lang w:eastAsia="zh-CN"/>
        </w:rPr>
        <w:t>2020</w:t>
      </w:r>
      <w:r>
        <w:rPr>
          <w:rFonts w:hint="eastAsia" w:ascii="宋体" w:hAnsi="宋体" w:eastAsia="宋体" w:cs="宋体"/>
          <w:sz w:val="24"/>
          <w:szCs w:val="24"/>
          <w:lang w:eastAsia="zh-CN"/>
        </w:rPr>
        <w:t>年</w:t>
      </w:r>
      <w:r>
        <w:rPr>
          <w:sz w:val="24"/>
          <w:szCs w:val="24"/>
          <w:lang w:eastAsia="zh-CN"/>
        </w:rPr>
        <w:t>12</w:t>
      </w:r>
      <w:r>
        <w:rPr>
          <w:rFonts w:hint="eastAsia" w:ascii="宋体" w:hAnsi="宋体" w:eastAsia="宋体" w:cs="宋体"/>
          <w:sz w:val="24"/>
          <w:szCs w:val="24"/>
          <w:lang w:eastAsia="zh-CN"/>
        </w:rPr>
        <w:t>月</w:t>
      </w:r>
      <w:r>
        <w:rPr>
          <w:sz w:val="24"/>
          <w:szCs w:val="24"/>
          <w:lang w:eastAsia="zh-CN"/>
        </w:rPr>
        <w:t>14</w:t>
      </w:r>
      <w:r>
        <w:rPr>
          <w:rFonts w:hint="eastAsia" w:ascii="宋体" w:hAnsi="宋体" w:eastAsia="宋体" w:cs="宋体"/>
          <w:sz w:val="24"/>
          <w:szCs w:val="24"/>
          <w:lang w:eastAsia="zh-CN"/>
        </w:rPr>
        <w:t>日，</w:t>
      </w:r>
      <w:r>
        <w:rPr>
          <w:sz w:val="24"/>
          <w:szCs w:val="24"/>
          <w:lang w:eastAsia="zh-CN"/>
        </w:rPr>
        <w:t>Huvepharma NV</w:t>
      </w:r>
      <w:r>
        <w:rPr>
          <w:rFonts w:hint="eastAsia" w:ascii="宋体" w:hAnsi="宋体" w:eastAsia="宋体" w:cs="宋体"/>
          <w:sz w:val="24"/>
          <w:szCs w:val="24"/>
          <w:lang w:eastAsia="zh-CN"/>
        </w:rPr>
        <w:t>根据（</w:t>
      </w:r>
      <w:r>
        <w:rPr>
          <w:sz w:val="24"/>
          <w:szCs w:val="24"/>
          <w:lang w:eastAsia="zh-CN"/>
        </w:rPr>
        <w:t>EC</w:t>
      </w:r>
      <w:r>
        <w:rPr>
          <w:rFonts w:hint="eastAsia" w:ascii="宋体" w:hAnsi="宋体" w:eastAsia="宋体" w:cs="宋体"/>
          <w:sz w:val="24"/>
          <w:szCs w:val="24"/>
          <w:lang w:eastAsia="zh-CN"/>
        </w:rPr>
        <w:t>）第</w:t>
      </w:r>
      <w:r>
        <w:rPr>
          <w:sz w:val="24"/>
          <w:szCs w:val="24"/>
          <w:lang w:eastAsia="zh-CN"/>
        </w:rPr>
        <w:t>470/2009</w:t>
      </w:r>
      <w:r>
        <w:rPr>
          <w:rFonts w:hint="eastAsia" w:ascii="宋体" w:hAnsi="宋体" w:eastAsia="宋体" w:cs="宋体"/>
          <w:sz w:val="24"/>
          <w:szCs w:val="24"/>
          <w:lang w:eastAsia="zh-CN"/>
        </w:rPr>
        <w:t>号法规第</w:t>
      </w:r>
      <w:r>
        <w:rPr>
          <w:sz w:val="24"/>
          <w:szCs w:val="24"/>
          <w:lang w:eastAsia="zh-CN"/>
        </w:rPr>
        <w:t>3</w:t>
      </w:r>
      <w:r>
        <w:rPr>
          <w:rFonts w:hint="eastAsia" w:ascii="宋体" w:hAnsi="宋体" w:eastAsia="宋体" w:cs="宋体"/>
          <w:sz w:val="24"/>
          <w:szCs w:val="24"/>
          <w:lang w:eastAsia="zh-CN"/>
        </w:rPr>
        <w:t>条向欧洲药品管理局（</w:t>
      </w:r>
      <w:r>
        <w:rPr>
          <w:sz w:val="24"/>
          <w:szCs w:val="24"/>
          <w:lang w:eastAsia="zh-CN"/>
        </w:rPr>
        <w:t>“</w:t>
      </w:r>
      <w:r>
        <w:rPr>
          <w:rFonts w:hint="eastAsia" w:ascii="宋体" w:hAnsi="宋体" w:eastAsia="宋体" w:cs="宋体"/>
          <w:sz w:val="24"/>
          <w:szCs w:val="24"/>
          <w:lang w:eastAsia="zh-CN"/>
        </w:rPr>
        <w:t>该局</w:t>
      </w:r>
      <w:r>
        <w:rPr>
          <w:sz w:val="24"/>
          <w:szCs w:val="24"/>
          <w:lang w:eastAsia="zh-CN"/>
        </w:rPr>
        <w:t>”</w:t>
      </w:r>
      <w:r>
        <w:rPr>
          <w:rFonts w:hint="eastAsia" w:ascii="宋体" w:hAnsi="宋体" w:eastAsia="宋体" w:cs="宋体"/>
          <w:sz w:val="24"/>
          <w:szCs w:val="24"/>
          <w:lang w:eastAsia="zh-CN"/>
        </w:rPr>
        <w:t>）提交了一份申请，要求将酮洛芬物质的现有条目扩展到鸡肉。</w:t>
      </w:r>
    </w:p>
    <w:p w14:paraId="456A4474">
      <w:pPr>
        <w:pStyle w:val="8"/>
        <w:numPr>
          <w:ilvl w:val="0"/>
          <w:numId w:val="1"/>
        </w:numPr>
        <w:tabs>
          <w:tab w:val="left" w:pos="824"/>
        </w:tabs>
        <w:spacing w:before="121"/>
        <w:ind w:left="823" w:right="118"/>
        <w:jc w:val="both"/>
        <w:rPr>
          <w:sz w:val="24"/>
          <w:lang w:eastAsia="zh-CN"/>
        </w:rPr>
      </w:pPr>
      <w:r>
        <w:rPr>
          <w:sz w:val="24"/>
          <w:szCs w:val="24"/>
          <w:lang w:eastAsia="zh-CN"/>
        </w:rPr>
        <w:t>2022</w:t>
      </w:r>
      <w:r>
        <w:rPr>
          <w:rFonts w:hint="eastAsia" w:ascii="宋体" w:hAnsi="宋体" w:eastAsia="宋体" w:cs="宋体"/>
          <w:sz w:val="24"/>
          <w:szCs w:val="24"/>
          <w:lang w:eastAsia="zh-CN"/>
        </w:rPr>
        <w:t>年</w:t>
      </w:r>
      <w:r>
        <w:rPr>
          <w:sz w:val="24"/>
          <w:szCs w:val="24"/>
          <w:lang w:eastAsia="zh-CN"/>
        </w:rPr>
        <w:t>5</w:t>
      </w:r>
      <w:r>
        <w:rPr>
          <w:rFonts w:hint="eastAsia" w:ascii="宋体" w:hAnsi="宋体" w:eastAsia="宋体" w:cs="宋体"/>
          <w:sz w:val="24"/>
          <w:szCs w:val="24"/>
          <w:lang w:eastAsia="zh-CN"/>
        </w:rPr>
        <w:t>月</w:t>
      </w:r>
      <w:r>
        <w:rPr>
          <w:sz w:val="24"/>
          <w:szCs w:val="24"/>
          <w:lang w:eastAsia="zh-CN"/>
        </w:rPr>
        <w:t>12</w:t>
      </w:r>
      <w:r>
        <w:rPr>
          <w:rFonts w:hint="eastAsia" w:ascii="宋体" w:hAnsi="宋体" w:eastAsia="宋体" w:cs="宋体"/>
          <w:sz w:val="24"/>
          <w:szCs w:val="24"/>
          <w:lang w:eastAsia="zh-CN"/>
        </w:rPr>
        <w:t>日，该机构根据兽药产品委员会的意见，建议对家禽中的酮洛芬物质建立</w:t>
      </w:r>
      <w:r>
        <w:rPr>
          <w:sz w:val="24"/>
          <w:szCs w:val="24"/>
          <w:lang w:eastAsia="zh-CN"/>
        </w:rPr>
        <w:t>“</w:t>
      </w:r>
      <w:r>
        <w:rPr>
          <w:rFonts w:hint="eastAsia" w:ascii="宋体" w:hAnsi="宋体" w:eastAsia="宋体" w:cs="宋体"/>
          <w:sz w:val="24"/>
          <w:szCs w:val="24"/>
          <w:lang w:eastAsia="zh-CN"/>
        </w:rPr>
        <w:t>无需最大残留限量</w:t>
      </w:r>
      <w:r>
        <w:rPr>
          <w:sz w:val="24"/>
          <w:szCs w:val="24"/>
          <w:lang w:eastAsia="zh-CN"/>
        </w:rPr>
        <w:t>”</w:t>
      </w:r>
      <w:r>
        <w:rPr>
          <w:rFonts w:hint="eastAsia" w:ascii="宋体" w:hAnsi="宋体" w:eastAsia="宋体" w:cs="宋体"/>
          <w:sz w:val="24"/>
          <w:szCs w:val="24"/>
          <w:lang w:eastAsia="zh-CN"/>
        </w:rPr>
        <w:t>的分类。</w:t>
      </w:r>
    </w:p>
    <w:p w14:paraId="1D7A4B52">
      <w:pPr>
        <w:pStyle w:val="8"/>
        <w:numPr>
          <w:ilvl w:val="0"/>
          <w:numId w:val="1"/>
        </w:numPr>
        <w:tabs>
          <w:tab w:val="left" w:pos="824"/>
        </w:tabs>
        <w:ind w:left="823" w:right="114"/>
        <w:jc w:val="both"/>
        <w:rPr>
          <w:sz w:val="24"/>
        </w:rPr>
      </w:pPr>
      <w:r>
        <w:rPr>
          <w:sz w:val="24"/>
          <w:szCs w:val="24"/>
          <w:lang w:eastAsia="zh-CN"/>
        </w:rPr>
        <w:t>2023</w:t>
      </w:r>
      <w:r>
        <w:rPr>
          <w:rFonts w:hint="eastAsia" w:ascii="宋体" w:hAnsi="宋体" w:eastAsia="宋体" w:cs="宋体"/>
          <w:sz w:val="24"/>
          <w:szCs w:val="24"/>
          <w:lang w:eastAsia="zh-CN"/>
        </w:rPr>
        <w:t>年</w:t>
      </w:r>
      <w:r>
        <w:rPr>
          <w:sz w:val="24"/>
          <w:szCs w:val="24"/>
          <w:lang w:eastAsia="zh-CN"/>
        </w:rPr>
        <w:t>3</w:t>
      </w:r>
      <w:r>
        <w:rPr>
          <w:rFonts w:hint="eastAsia" w:ascii="宋体" w:hAnsi="宋体" w:eastAsia="宋体" w:cs="宋体"/>
          <w:sz w:val="24"/>
          <w:szCs w:val="24"/>
          <w:lang w:eastAsia="zh-CN"/>
        </w:rPr>
        <w:t>月</w:t>
      </w:r>
      <w:r>
        <w:rPr>
          <w:sz w:val="24"/>
          <w:szCs w:val="24"/>
          <w:lang w:eastAsia="zh-CN"/>
        </w:rPr>
        <w:t>1</w:t>
      </w:r>
      <w:r>
        <w:rPr>
          <w:rFonts w:hint="eastAsia" w:ascii="宋体" w:hAnsi="宋体" w:eastAsia="宋体" w:cs="宋体"/>
          <w:sz w:val="24"/>
          <w:szCs w:val="24"/>
          <w:lang w:eastAsia="zh-CN"/>
        </w:rPr>
        <w:t>日，欧盟委员会要求该局审查其</w:t>
      </w:r>
      <w:r>
        <w:rPr>
          <w:sz w:val="24"/>
          <w:szCs w:val="24"/>
          <w:lang w:eastAsia="zh-CN"/>
        </w:rPr>
        <w:t>2022</w:t>
      </w:r>
      <w:r>
        <w:rPr>
          <w:rFonts w:hint="eastAsia" w:ascii="宋体" w:hAnsi="宋体" w:eastAsia="宋体" w:cs="宋体"/>
          <w:sz w:val="24"/>
          <w:szCs w:val="24"/>
          <w:lang w:eastAsia="zh-CN"/>
        </w:rPr>
        <w:t>年</w:t>
      </w:r>
      <w:r>
        <w:rPr>
          <w:sz w:val="24"/>
          <w:szCs w:val="24"/>
          <w:lang w:eastAsia="zh-CN"/>
        </w:rPr>
        <w:t>5</w:t>
      </w:r>
      <w:r>
        <w:rPr>
          <w:rFonts w:hint="eastAsia" w:ascii="宋体" w:hAnsi="宋体" w:eastAsia="宋体" w:cs="宋体"/>
          <w:sz w:val="24"/>
          <w:szCs w:val="24"/>
          <w:lang w:eastAsia="zh-CN"/>
        </w:rPr>
        <w:t>月</w:t>
      </w:r>
      <w:r>
        <w:rPr>
          <w:sz w:val="24"/>
          <w:szCs w:val="24"/>
          <w:lang w:eastAsia="zh-CN"/>
        </w:rPr>
        <w:t>12</w:t>
      </w:r>
      <w:r>
        <w:rPr>
          <w:rFonts w:hint="eastAsia" w:ascii="宋体" w:hAnsi="宋体" w:eastAsia="宋体" w:cs="宋体"/>
          <w:sz w:val="24"/>
          <w:szCs w:val="24"/>
          <w:lang w:eastAsia="zh-CN"/>
        </w:rPr>
        <w:t>日的意见，以进一步审查某些代谢物可能存在的安全问题，并在适当情况下，建议家禽组织中酮洛芬的最大残留限量。</w:t>
      </w:r>
      <w:r>
        <w:rPr>
          <w:rFonts w:hint="eastAsia" w:ascii="宋体" w:hAnsi="宋体" w:eastAsia="宋体" w:cs="宋体"/>
          <w:sz w:val="24"/>
          <w:szCs w:val="24"/>
        </w:rPr>
        <w:t>同时，根据法规</w:t>
      </w:r>
      <w:r>
        <w:rPr>
          <w:sz w:val="24"/>
          <w:szCs w:val="24"/>
        </w:rPr>
        <w:t>(EC)No470/2009</w:t>
      </w:r>
      <w:r>
        <w:rPr>
          <w:rFonts w:hint="eastAsia" w:ascii="宋体" w:hAnsi="宋体" w:eastAsia="宋体" w:cs="宋体"/>
          <w:sz w:val="24"/>
          <w:szCs w:val="24"/>
        </w:rPr>
        <w:t>第</w:t>
      </w:r>
      <w:r>
        <w:rPr>
          <w:sz w:val="24"/>
          <w:szCs w:val="24"/>
        </w:rPr>
        <w:t>11</w:t>
      </w:r>
      <w:r>
        <w:rPr>
          <w:rFonts w:hint="eastAsia" w:ascii="宋体" w:hAnsi="宋体" w:eastAsia="宋体" w:cs="宋体"/>
          <w:sz w:val="24"/>
          <w:szCs w:val="24"/>
        </w:rPr>
        <w:t>条，</w:t>
      </w:r>
    </w:p>
    <w:p w14:paraId="6014D9C1">
      <w:pPr>
        <w:pStyle w:val="2"/>
        <w:spacing w:before="6"/>
        <w:rPr>
          <w:sz w:val="21"/>
        </w:rPr>
      </w:pPr>
      <w:r>
        <w:pict>
          <v:rect id="docshape14" o:spid="_x0000_s1028" o:spt="1" style="position:absolute;left:0pt;margin-left:70.8pt;margin-top:13.6pt;height:0.6pt;width:144pt;mso-position-horizontal-relative:page;mso-wrap-distance-bottom:0pt;mso-wrap-distance-top:0pt;z-index:-251648000;mso-width-relative:page;mso-height-relative:page;" fillcolor="#000000" filled="t" stroked="f" coordsize="21600,21600">
            <v:path/>
            <v:fill on="t" focussize="0,0"/>
            <v:stroke on="f"/>
            <v:imagedata o:title=""/>
            <o:lock v:ext="edit"/>
            <w10:wrap type="topAndBottom"/>
          </v:rect>
        </w:pict>
      </w:r>
    </w:p>
    <w:p w14:paraId="57AEBE53">
      <w:pPr>
        <w:tabs>
          <w:tab w:val="left" w:pos="835"/>
        </w:tabs>
        <w:spacing w:before="101"/>
        <w:ind w:left="115"/>
        <w:jc w:val="both"/>
        <w:rPr>
          <w:sz w:val="20"/>
          <w:lang w:val="fi-FI"/>
        </w:rPr>
      </w:pPr>
      <w:bookmarkStart w:id="0" w:name="_bookmark0"/>
      <w:bookmarkEnd w:id="0"/>
      <w:r>
        <w:rPr>
          <w:spacing w:val="-10"/>
          <w:sz w:val="20"/>
          <w:vertAlign w:val="superscript"/>
          <w:lang w:val="fi-FI"/>
        </w:rPr>
        <w:t>1</w:t>
      </w:r>
      <w:r>
        <w:rPr>
          <w:sz w:val="20"/>
          <w:lang w:val="fi-FI"/>
        </w:rPr>
        <w:tab/>
      </w:r>
      <w:r>
        <w:rPr>
          <w:sz w:val="20"/>
          <w:lang w:val="fi-FI"/>
        </w:rPr>
        <w:t>OJ</w:t>
      </w:r>
      <w:r>
        <w:rPr>
          <w:spacing w:val="-5"/>
          <w:sz w:val="20"/>
          <w:lang w:val="fi-FI"/>
        </w:rPr>
        <w:t xml:space="preserve"> </w:t>
      </w:r>
      <w:r>
        <w:rPr>
          <w:sz w:val="20"/>
          <w:lang w:val="fi-FI"/>
        </w:rPr>
        <w:t>L</w:t>
      </w:r>
      <w:r>
        <w:rPr>
          <w:spacing w:val="-3"/>
          <w:sz w:val="20"/>
          <w:lang w:val="fi-FI"/>
        </w:rPr>
        <w:t xml:space="preserve"> </w:t>
      </w:r>
      <w:r>
        <w:rPr>
          <w:sz w:val="20"/>
          <w:lang w:val="fi-FI"/>
        </w:rPr>
        <w:t>152,</w:t>
      </w:r>
      <w:r>
        <w:rPr>
          <w:spacing w:val="-3"/>
          <w:sz w:val="20"/>
          <w:lang w:val="fi-FI"/>
        </w:rPr>
        <w:t xml:space="preserve"> </w:t>
      </w:r>
      <w:r>
        <w:rPr>
          <w:sz w:val="20"/>
          <w:lang w:val="fi-FI"/>
        </w:rPr>
        <w:t>16.6.2009,</w:t>
      </w:r>
      <w:r>
        <w:rPr>
          <w:spacing w:val="-2"/>
          <w:sz w:val="20"/>
          <w:lang w:val="fi-FI"/>
        </w:rPr>
        <w:t xml:space="preserve"> </w:t>
      </w:r>
      <w:r>
        <w:rPr>
          <w:sz w:val="20"/>
          <w:lang w:val="fi-FI"/>
        </w:rPr>
        <w:t>p.</w:t>
      </w:r>
      <w:r>
        <w:rPr>
          <w:spacing w:val="-3"/>
          <w:sz w:val="20"/>
          <w:lang w:val="fi-FI"/>
        </w:rPr>
        <w:t xml:space="preserve"> </w:t>
      </w:r>
      <w:r>
        <w:rPr>
          <w:sz w:val="20"/>
          <w:lang w:val="fi-FI"/>
        </w:rPr>
        <w:t>11,</w:t>
      </w:r>
      <w:r>
        <w:rPr>
          <w:spacing w:val="-3"/>
          <w:sz w:val="20"/>
          <w:lang w:val="fi-FI"/>
        </w:rPr>
        <w:t xml:space="preserve"> </w:t>
      </w:r>
      <w:r>
        <w:rPr>
          <w:sz w:val="20"/>
          <w:lang w:val="fi-FI"/>
        </w:rPr>
        <w:t>ELI:</w:t>
      </w:r>
      <w:r>
        <w:rPr>
          <w:spacing w:val="-4"/>
          <w:sz w:val="20"/>
          <w:lang w:val="fi-FI"/>
        </w:rPr>
        <w:t xml:space="preserve"> </w:t>
      </w:r>
      <w:r>
        <w:fldChar w:fldCharType="begin"/>
      </w:r>
      <w:r>
        <w:instrText xml:space="preserve"> HYPERLINK "http://data.europa.eu/eli/reg/2009/470/oj" \h </w:instrText>
      </w:r>
      <w:r>
        <w:fldChar w:fldCharType="separate"/>
      </w:r>
      <w:r>
        <w:rPr>
          <w:color w:val="0000FF"/>
          <w:spacing w:val="-2"/>
          <w:sz w:val="20"/>
          <w:u w:val="single" w:color="0000FF"/>
          <w:lang w:val="fi-FI"/>
        </w:rPr>
        <w:t>http://data.europa.eu/eli/reg/2009/470/oj</w:t>
      </w:r>
      <w:r>
        <w:rPr>
          <w:spacing w:val="-2"/>
          <w:sz w:val="20"/>
          <w:lang w:val="fi-FI"/>
        </w:rPr>
        <w:t>.</w:t>
      </w:r>
      <w:r>
        <w:rPr>
          <w:spacing w:val="-2"/>
          <w:sz w:val="20"/>
          <w:lang w:val="fi-FI"/>
        </w:rPr>
        <w:fldChar w:fldCharType="end"/>
      </w:r>
    </w:p>
    <w:p w14:paraId="7DE87C4F">
      <w:pPr>
        <w:tabs>
          <w:tab w:val="left" w:pos="835"/>
        </w:tabs>
        <w:ind w:left="835" w:right="113" w:hanging="720"/>
        <w:jc w:val="both"/>
        <w:rPr>
          <w:sz w:val="20"/>
          <w:lang w:val="fi-FI"/>
        </w:rPr>
      </w:pPr>
      <w:bookmarkStart w:id="1" w:name="_bookmark1"/>
      <w:bookmarkEnd w:id="1"/>
      <w:r>
        <w:rPr>
          <w:spacing w:val="-10"/>
          <w:sz w:val="20"/>
          <w:vertAlign w:val="superscript"/>
          <w:lang w:val="fi-FI"/>
        </w:rPr>
        <w:t>2</w:t>
      </w:r>
      <w:r>
        <w:rPr>
          <w:sz w:val="20"/>
          <w:lang w:val="fi-FI"/>
        </w:rPr>
        <w:tab/>
      </w:r>
      <w:r>
        <w:rPr>
          <w:sz w:val="20"/>
          <w:szCs w:val="20"/>
          <w:lang w:val="fi-FI"/>
        </w:rPr>
        <w:t>2009</w:t>
      </w:r>
      <w:r>
        <w:rPr>
          <w:rFonts w:hint="eastAsia" w:ascii="宋体" w:hAnsi="宋体" w:eastAsia="宋体" w:cs="宋体"/>
          <w:sz w:val="20"/>
          <w:szCs w:val="20"/>
        </w:rPr>
        <w:t>年</w:t>
      </w:r>
      <w:r>
        <w:rPr>
          <w:sz w:val="20"/>
          <w:szCs w:val="20"/>
          <w:lang w:val="fi-FI"/>
        </w:rPr>
        <w:t>12</w:t>
      </w:r>
      <w:r>
        <w:rPr>
          <w:rFonts w:hint="eastAsia" w:ascii="宋体" w:hAnsi="宋体" w:eastAsia="宋体" w:cs="宋体"/>
          <w:sz w:val="20"/>
          <w:szCs w:val="20"/>
        </w:rPr>
        <w:t>月</w:t>
      </w:r>
      <w:r>
        <w:rPr>
          <w:sz w:val="20"/>
          <w:szCs w:val="20"/>
          <w:lang w:val="fi-FI"/>
        </w:rPr>
        <w:t>22</w:t>
      </w:r>
      <w:r>
        <w:rPr>
          <w:rFonts w:hint="eastAsia" w:ascii="宋体" w:hAnsi="宋体" w:eastAsia="宋体" w:cs="宋体"/>
          <w:sz w:val="20"/>
          <w:szCs w:val="20"/>
        </w:rPr>
        <w:t>日欧盟委员会法规</w:t>
      </w:r>
      <w:r>
        <w:rPr>
          <w:sz w:val="20"/>
          <w:szCs w:val="20"/>
          <w:lang w:val="fi-FI"/>
        </w:rPr>
        <w:t>(EU)No37/2010</w:t>
      </w:r>
      <w:r>
        <w:rPr>
          <w:rFonts w:hint="eastAsia" w:ascii="宋体" w:hAnsi="宋体" w:eastAsia="宋体" w:cs="宋体"/>
          <w:sz w:val="20"/>
          <w:szCs w:val="20"/>
        </w:rPr>
        <w:t>关于动物源性食品中药理活性物质及其最大残留限量分类</w:t>
      </w:r>
      <w:r>
        <w:rPr>
          <w:sz w:val="20"/>
          <w:szCs w:val="20"/>
          <w:lang w:val="fi-FI"/>
        </w:rPr>
        <w:t>(OJL15,2010</w:t>
      </w:r>
      <w:r>
        <w:rPr>
          <w:rFonts w:hint="eastAsia" w:ascii="宋体" w:hAnsi="宋体" w:eastAsia="宋体" w:cs="宋体"/>
          <w:sz w:val="20"/>
          <w:szCs w:val="20"/>
        </w:rPr>
        <w:t>年</w:t>
      </w:r>
      <w:r>
        <w:rPr>
          <w:sz w:val="20"/>
          <w:szCs w:val="20"/>
          <w:lang w:val="fi-FI"/>
        </w:rPr>
        <w:t>1</w:t>
      </w:r>
      <w:r>
        <w:rPr>
          <w:rFonts w:hint="eastAsia" w:ascii="宋体" w:hAnsi="宋体" w:eastAsia="宋体" w:cs="宋体"/>
          <w:sz w:val="20"/>
          <w:szCs w:val="20"/>
        </w:rPr>
        <w:t>月</w:t>
      </w:r>
      <w:r>
        <w:rPr>
          <w:sz w:val="20"/>
          <w:szCs w:val="20"/>
          <w:lang w:val="fi-FI"/>
        </w:rPr>
        <w:t>20</w:t>
      </w:r>
      <w:r>
        <w:rPr>
          <w:rFonts w:hint="eastAsia" w:ascii="宋体" w:hAnsi="宋体" w:eastAsia="宋体" w:cs="宋体"/>
          <w:sz w:val="20"/>
          <w:szCs w:val="20"/>
        </w:rPr>
        <w:t>日</w:t>
      </w:r>
      <w:r>
        <w:rPr>
          <w:rFonts w:hint="eastAsia" w:ascii="宋体" w:hAnsi="宋体" w:eastAsia="宋体" w:cs="宋体"/>
          <w:sz w:val="20"/>
          <w:szCs w:val="20"/>
          <w:lang w:val="fi-FI"/>
        </w:rPr>
        <w:t>，</w:t>
      </w:r>
      <w:r>
        <w:rPr>
          <w:rFonts w:hint="eastAsia" w:ascii="宋体" w:hAnsi="宋体" w:eastAsia="宋体" w:cs="宋体"/>
          <w:sz w:val="20"/>
          <w:szCs w:val="20"/>
        </w:rPr>
        <w:t>第</w:t>
      </w:r>
      <w:r>
        <w:rPr>
          <w:sz w:val="20"/>
          <w:szCs w:val="20"/>
          <w:lang w:val="fi-FI"/>
        </w:rPr>
        <w:t>1</w:t>
      </w:r>
      <w:r>
        <w:rPr>
          <w:rFonts w:hint="eastAsia" w:ascii="宋体" w:hAnsi="宋体" w:eastAsia="宋体" w:cs="宋体"/>
          <w:sz w:val="20"/>
          <w:szCs w:val="20"/>
        </w:rPr>
        <w:t>页</w:t>
      </w:r>
      <w:r>
        <w:rPr>
          <w:rFonts w:hint="eastAsia" w:ascii="宋体" w:hAnsi="宋体" w:eastAsia="宋体" w:cs="宋体"/>
          <w:sz w:val="20"/>
          <w:szCs w:val="20"/>
          <w:lang w:val="fi-FI"/>
        </w:rPr>
        <w:t>，</w:t>
      </w:r>
      <w:r>
        <w:rPr>
          <w:sz w:val="20"/>
          <w:szCs w:val="20"/>
          <w:lang w:val="fi-FI"/>
        </w:rPr>
        <w:t>ELI:</w:t>
      </w:r>
      <w:r>
        <w:fldChar w:fldCharType="begin"/>
      </w:r>
      <w:r>
        <w:instrText xml:space="preserve"> HYPERLINK "http://data.europa.eu/eli/reg/2010/37(1)/oj" \h </w:instrText>
      </w:r>
      <w:r>
        <w:fldChar w:fldCharType="separate"/>
      </w:r>
      <w:r>
        <w:rPr>
          <w:color w:val="0000FF"/>
          <w:sz w:val="20"/>
          <w:u w:val="single" w:color="0000FF"/>
          <w:lang w:val="fi-FI"/>
        </w:rPr>
        <w:t>http://data.europa.eu/eli/reg/2010/37(1)/oj</w:t>
      </w:r>
      <w:r>
        <w:rPr>
          <w:color w:val="0000FF"/>
          <w:sz w:val="20"/>
          <w:u w:val="single" w:color="0000FF"/>
          <w:lang w:val="fi-FI"/>
        </w:rPr>
        <w:fldChar w:fldCharType="end"/>
      </w:r>
      <w:r>
        <w:rPr>
          <w:sz w:val="20"/>
          <w:lang w:val="fi-FI"/>
        </w:rPr>
        <w:t>).</w:t>
      </w:r>
    </w:p>
    <w:p w14:paraId="738EF17D">
      <w:pPr>
        <w:jc w:val="both"/>
        <w:rPr>
          <w:sz w:val="20"/>
          <w:lang w:val="fi-FI"/>
        </w:rPr>
        <w:sectPr>
          <w:footerReference r:id="rId4" w:type="default"/>
          <w:pgSz w:w="11910" w:h="16840"/>
          <w:pgMar w:top="1400" w:right="1300" w:bottom="1240" w:left="1300" w:header="0" w:footer="1043" w:gutter="0"/>
          <w:cols w:space="720" w:num="1"/>
        </w:sectPr>
      </w:pPr>
    </w:p>
    <w:p w14:paraId="32F33F8E">
      <w:pPr>
        <w:spacing w:before="73"/>
        <w:ind w:left="823" w:right="113"/>
        <w:jc w:val="both"/>
        <w:rPr>
          <w:sz w:val="23"/>
          <w:lang w:eastAsia="zh-CN"/>
        </w:rPr>
      </w:pPr>
      <w:r>
        <w:rPr>
          <w:rFonts w:hint="eastAsia" w:ascii="宋体" w:hAnsi="宋体" w:eastAsia="宋体" w:cs="宋体"/>
          <w:sz w:val="23"/>
          <w:szCs w:val="23"/>
          <w:lang w:eastAsia="zh-CN"/>
        </w:rPr>
        <w:t>委员会还要求该局评估在牛、猪和马科物种中维持酮洛芬</w:t>
      </w:r>
      <w:r>
        <w:rPr>
          <w:sz w:val="23"/>
          <w:szCs w:val="23"/>
          <w:lang w:eastAsia="zh-CN"/>
        </w:rPr>
        <w:t>“</w:t>
      </w:r>
      <w:r>
        <w:rPr>
          <w:rFonts w:hint="eastAsia" w:ascii="宋体" w:hAnsi="宋体" w:eastAsia="宋体" w:cs="宋体"/>
          <w:sz w:val="23"/>
          <w:szCs w:val="23"/>
          <w:lang w:eastAsia="zh-CN"/>
        </w:rPr>
        <w:t>无</w:t>
      </w:r>
      <w:r>
        <w:rPr>
          <w:sz w:val="23"/>
          <w:szCs w:val="23"/>
          <w:lang w:eastAsia="zh-CN"/>
        </w:rPr>
        <w:t>MRL</w:t>
      </w:r>
      <w:r>
        <w:rPr>
          <w:rFonts w:hint="eastAsia" w:ascii="宋体" w:hAnsi="宋体" w:eastAsia="宋体" w:cs="宋体"/>
          <w:sz w:val="23"/>
          <w:szCs w:val="23"/>
          <w:lang w:eastAsia="zh-CN"/>
        </w:rPr>
        <w:t>要求</w:t>
      </w:r>
      <w:r>
        <w:rPr>
          <w:sz w:val="23"/>
          <w:szCs w:val="23"/>
          <w:lang w:eastAsia="zh-CN"/>
        </w:rPr>
        <w:t>”</w:t>
      </w:r>
      <w:r>
        <w:rPr>
          <w:rFonts w:hint="eastAsia" w:ascii="宋体" w:hAnsi="宋体" w:eastAsia="宋体" w:cs="宋体"/>
          <w:sz w:val="23"/>
          <w:szCs w:val="23"/>
          <w:lang w:eastAsia="zh-CN"/>
        </w:rPr>
        <w:t>分类是否合适。</w:t>
      </w:r>
    </w:p>
    <w:p w14:paraId="34299A82">
      <w:pPr>
        <w:pStyle w:val="8"/>
        <w:numPr>
          <w:ilvl w:val="0"/>
          <w:numId w:val="1"/>
        </w:numPr>
        <w:tabs>
          <w:tab w:val="left" w:pos="824"/>
        </w:tabs>
        <w:spacing w:before="121"/>
        <w:ind w:left="823"/>
        <w:jc w:val="both"/>
        <w:rPr>
          <w:sz w:val="24"/>
          <w:lang w:eastAsia="zh-CN"/>
        </w:rPr>
      </w:pPr>
      <w:r>
        <w:rPr>
          <w:sz w:val="24"/>
          <w:szCs w:val="24"/>
          <w:lang w:eastAsia="zh-CN"/>
        </w:rPr>
        <w:t>2023</w:t>
      </w:r>
      <w:r>
        <w:rPr>
          <w:rFonts w:hint="eastAsia" w:ascii="宋体" w:hAnsi="宋体" w:eastAsia="宋体" w:cs="宋体"/>
          <w:sz w:val="24"/>
          <w:szCs w:val="24"/>
          <w:lang w:eastAsia="zh-CN"/>
        </w:rPr>
        <w:t>年</w:t>
      </w:r>
      <w:r>
        <w:rPr>
          <w:sz w:val="24"/>
          <w:szCs w:val="24"/>
          <w:lang w:eastAsia="zh-CN"/>
        </w:rPr>
        <w:t>5</w:t>
      </w:r>
      <w:r>
        <w:rPr>
          <w:rFonts w:hint="eastAsia" w:ascii="宋体" w:hAnsi="宋体" w:eastAsia="宋体" w:cs="宋体"/>
          <w:sz w:val="24"/>
          <w:szCs w:val="24"/>
          <w:lang w:eastAsia="zh-CN"/>
        </w:rPr>
        <w:t>月</w:t>
      </w:r>
      <w:r>
        <w:rPr>
          <w:sz w:val="24"/>
          <w:szCs w:val="24"/>
          <w:lang w:eastAsia="zh-CN"/>
        </w:rPr>
        <w:t>16</w:t>
      </w:r>
      <w:r>
        <w:rPr>
          <w:rFonts w:hint="eastAsia" w:ascii="宋体" w:hAnsi="宋体" w:eastAsia="宋体" w:cs="宋体"/>
          <w:sz w:val="24"/>
          <w:szCs w:val="24"/>
          <w:lang w:eastAsia="zh-CN"/>
        </w:rPr>
        <w:t>日，该机构根据兽药产品委员会的意见，并考虑了</w:t>
      </w:r>
      <w:r>
        <w:rPr>
          <w:sz w:val="24"/>
          <w:szCs w:val="24"/>
          <w:lang w:eastAsia="zh-CN"/>
        </w:rPr>
        <w:t>Huvepharma NV</w:t>
      </w:r>
      <w:r>
        <w:rPr>
          <w:rFonts w:hint="eastAsia" w:ascii="宋体" w:hAnsi="宋体" w:eastAsia="宋体" w:cs="宋体"/>
          <w:sz w:val="24"/>
          <w:szCs w:val="24"/>
          <w:lang w:eastAsia="zh-CN"/>
        </w:rPr>
        <w:t>的申请和委员会的请求，建议制定用于家禽的酮洛芬最大残留限量，适用于肌肉、皮肤和自然比例</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脂肪、肝脏和肾脏，但不适用于生产供人类食用蛋的动物。</w:t>
      </w:r>
    </w:p>
    <w:p w14:paraId="5410A20C">
      <w:pPr>
        <w:pStyle w:val="8"/>
        <w:numPr>
          <w:ilvl w:val="0"/>
          <w:numId w:val="1"/>
        </w:numPr>
        <w:tabs>
          <w:tab w:val="left" w:pos="824"/>
        </w:tabs>
        <w:jc w:val="both"/>
        <w:rPr>
          <w:sz w:val="24"/>
          <w:lang w:eastAsia="zh-CN"/>
        </w:rPr>
      </w:pPr>
      <w:r>
        <w:pict>
          <v:shape id="docshape19" o:spid="_x0000_s1027" o:spt="100" style="position:absolute;left:0pt;margin-left:95.1pt;margin-top:19.4pt;height:408.8pt;width:387.95pt;mso-position-horizontal-relative:page;z-index:-251654144;mso-width-relative:page;mso-height-relative:page;" fillcolor="#C0C0C0" filled="t" stroked="f" coordorigin="1902,388" coordsize="7759,8176" adj=",," path="m5032,7660l5025,7588,5011,7514,4988,7432,4956,7344,4914,7249,4887,7192,4855,7133,4820,7071,4781,7007,4737,6941,4690,6873,4687,6868,4687,7475,4686,7535,4678,7593,4660,7652,4628,7712,4585,7773,4528,7835,4259,8104,2362,6206,2626,5942,2699,5876,2767,5826,2832,5793,2893,5777,2950,5774,3014,5781,3084,5796,3160,5821,3242,5855,3330,5898,3381,5927,3434,5960,3489,5997,3545,6037,3604,6082,3664,6131,3727,6183,3791,6240,3857,6300,3925,6365,3994,6434,4063,6503,4128,6571,4189,6638,4246,6703,4300,6766,4350,6827,4397,6886,4440,6944,4492,7020,4538,7092,4577,7162,4611,7228,4639,7292,4662,7352,4679,7414,4687,7475,4687,6868,4639,6802,4597,6746,4552,6689,4505,6631,4455,6572,4403,6512,4349,6452,4292,6391,4233,6329,4171,6267,4111,6208,4051,6150,3992,6095,3933,6042,3874,5990,3816,5941,3758,5894,3701,5849,3644,5805,3601,5774,3587,5764,3531,5725,3455,5675,3380,5630,3306,5589,3234,5553,3163,5521,3093,5493,3025,5470,2958,5451,2878,5433,2801,5426,2729,5427,2660,5438,2596,5457,2537,5484,2474,5525,2407,5579,2336,5646,1902,6080,4386,8563,4840,8109,4845,8104,4893,8051,4938,7991,4974,7929,5000,7864,5019,7798,5029,7730,5032,7660xm6768,6181l5891,5733,5873,5724,5787,5681,5704,5643,5624,5609,5548,5580,5475,5554,5405,5532,5355,5521,5301,5513,5243,5510,5180,5509,5214,5442,5238,5374,5252,5304,5258,5232,5254,5160,5241,5086,5218,5010,5191,4944,5160,4877,5123,4810,5081,4744,5033,4677,4980,4611,4931,4553,4931,5095,4927,5152,4913,5208,4886,5265,4847,5321,4796,5378,4438,5736,3616,4915,4014,4516,4072,4467,4133,4434,4196,4415,4263,4412,4333,4424,4404,4450,4475,4485,4546,4530,4617,4585,4687,4650,4744,4711,4794,4774,4838,4839,4876,4905,4905,4972,4924,5035,4931,5095,4931,4553,4922,4544,4859,4478,4800,4421,4790,4412,4740,4368,4680,4318,4619,4273,4558,4230,4495,4191,4432,4156,4346,4114,4265,4084,4190,4065,4120,4057,4055,4059,3993,4073,3930,4099,3865,4137,3800,4187,3733,4249,3175,4807,5659,7291,5825,7124,4722,6021,4915,5828,4946,5798,4974,5775,4998,5758,5020,5747,5050,5738,5065,5736,5084,5734,5122,5733,5163,5737,5210,5746,5267,5762,5335,5786,5413,5818,5472,5845,5538,5875,5612,5910,5692,5949,5780,5992,6559,6390,6768,6181xm7966,4983l7336,4567,6558,4058,6558,4351,6131,4778,5587,3978,5541,3911,5492,3842,5443,3773,5393,3704,5343,3636,5292,3568,5240,3501,5188,3435,5135,3369,5187,3408,5244,3449,5368,3538,5580,3686,6558,4351,6558,4058,5505,3369,4967,3014,4788,3194,4832,3260,6788,6161,6965,5984,6351,5094,6667,4778,6877,4567,7776,5173,7966,4983xm8275,4675l7146,3546,7439,3253,7737,2955,7444,2662,6853,3253,6084,2484,6767,1801,6474,1508,5624,2357,8108,4841,8275,4675xm9661,3288l7470,1098,7887,681,7593,388,6596,1386,6889,1679,7303,1264,9494,3455,9661,3288xe">
            <v:path arrowok="t" o:connecttype="segments"/>
            <v:fill on="t" opacity="32896f" focussize="0,0"/>
            <v:stroke on="f" joinstyle="round"/>
            <v:imagedata o:title=""/>
            <o:lock v:ext="edit"/>
          </v:shape>
        </w:pict>
      </w:r>
      <w:r>
        <w:rPr>
          <w:rFonts w:hint="eastAsia" w:ascii="宋体" w:hAnsi="宋体" w:eastAsia="宋体" w:cs="宋体"/>
          <w:sz w:val="24"/>
          <w:szCs w:val="24"/>
          <w:lang w:eastAsia="zh-CN"/>
        </w:rPr>
        <w:t>欧盟委员会实施条例</w:t>
      </w:r>
      <w:r>
        <w:rPr>
          <w:sz w:val="24"/>
          <w:szCs w:val="24"/>
          <w:lang w:eastAsia="zh-CN"/>
        </w:rPr>
        <w:t>(EU)2023/2194</w:t>
      </w:r>
      <w:r>
        <w:fldChar w:fldCharType="begin"/>
      </w:r>
      <w:r>
        <w:instrText xml:space="preserve"> HYPERLINK \l "_bookmark2" </w:instrText>
      </w:r>
      <w:r>
        <w:fldChar w:fldCharType="separate"/>
      </w:r>
      <w:r>
        <w:rPr>
          <w:sz w:val="24"/>
          <w:vertAlign w:val="superscript"/>
          <w:lang w:eastAsia="zh-CN"/>
        </w:rPr>
        <w:t>3</w:t>
      </w:r>
      <w:r>
        <w:rPr>
          <w:sz w:val="24"/>
          <w:vertAlign w:val="superscript"/>
          <w:lang w:eastAsia="zh-CN"/>
        </w:rPr>
        <w:fldChar w:fldCharType="end"/>
      </w:r>
      <w:r>
        <w:rPr>
          <w:rFonts w:hint="eastAsia" w:ascii="宋体" w:hAnsi="宋体" w:eastAsia="宋体" w:cs="宋体"/>
          <w:sz w:val="24"/>
          <w:szCs w:val="24"/>
          <w:lang w:eastAsia="zh-CN"/>
        </w:rPr>
        <w:t>因此，物质酮洛芬作为允许用于家禽的物质包括在法规</w:t>
      </w:r>
      <w:r>
        <w:rPr>
          <w:sz w:val="24"/>
          <w:szCs w:val="24"/>
          <w:lang w:eastAsia="zh-CN"/>
        </w:rPr>
        <w:t>(EU)No37/2010</w:t>
      </w:r>
      <w:r>
        <w:rPr>
          <w:rFonts w:hint="eastAsia" w:ascii="宋体" w:hAnsi="宋体" w:eastAsia="宋体" w:cs="宋体"/>
          <w:sz w:val="24"/>
          <w:szCs w:val="24"/>
          <w:lang w:eastAsia="zh-CN"/>
        </w:rPr>
        <w:t>中。</w:t>
      </w:r>
    </w:p>
    <w:p w14:paraId="4C0057A2">
      <w:pPr>
        <w:pStyle w:val="8"/>
        <w:numPr>
          <w:ilvl w:val="0"/>
          <w:numId w:val="1"/>
        </w:numPr>
        <w:tabs>
          <w:tab w:val="left" w:pos="824"/>
        </w:tabs>
        <w:ind w:left="823" w:right="113"/>
        <w:jc w:val="both"/>
        <w:rPr>
          <w:lang w:eastAsia="zh-CN"/>
        </w:rPr>
      </w:pPr>
      <w:r>
        <w:rPr>
          <w:sz w:val="24"/>
          <w:szCs w:val="24"/>
          <w:lang w:eastAsia="zh-CN"/>
        </w:rPr>
        <w:t>2024</w:t>
      </w:r>
      <w:r>
        <w:rPr>
          <w:rFonts w:hint="eastAsia" w:ascii="宋体" w:hAnsi="宋体" w:eastAsia="宋体" w:cs="宋体"/>
          <w:sz w:val="24"/>
          <w:szCs w:val="24"/>
          <w:lang w:eastAsia="zh-CN"/>
        </w:rPr>
        <w:t>年</w:t>
      </w:r>
      <w:r>
        <w:rPr>
          <w:sz w:val="24"/>
          <w:szCs w:val="24"/>
          <w:lang w:eastAsia="zh-CN"/>
        </w:rPr>
        <w:t>11</w:t>
      </w:r>
      <w:r>
        <w:rPr>
          <w:rFonts w:hint="eastAsia" w:ascii="宋体" w:hAnsi="宋体" w:eastAsia="宋体" w:cs="宋体"/>
          <w:sz w:val="24"/>
          <w:szCs w:val="24"/>
          <w:lang w:eastAsia="zh-CN"/>
        </w:rPr>
        <w:t>月</w:t>
      </w:r>
      <w:r>
        <w:rPr>
          <w:sz w:val="24"/>
          <w:szCs w:val="24"/>
          <w:lang w:eastAsia="zh-CN"/>
        </w:rPr>
        <w:t>7</w:t>
      </w:r>
      <w:r>
        <w:rPr>
          <w:rFonts w:hint="eastAsia" w:ascii="宋体" w:hAnsi="宋体" w:eastAsia="宋体" w:cs="宋体"/>
          <w:sz w:val="24"/>
          <w:szCs w:val="24"/>
          <w:lang w:eastAsia="zh-CN"/>
        </w:rPr>
        <w:t>日，该机构根据兽药产品委员会的意见，并考虑了委员会的请求，建议制定牛和猪物种中使用的酮洛芬的最大残留限量，适用于肌肉、脂肪、肝脏、肾脏和牛奶。</w:t>
      </w:r>
    </w:p>
    <w:p w14:paraId="186B7603">
      <w:pPr>
        <w:pStyle w:val="8"/>
        <w:numPr>
          <w:ilvl w:val="0"/>
          <w:numId w:val="1"/>
        </w:numPr>
        <w:tabs>
          <w:tab w:val="left" w:pos="824"/>
        </w:tabs>
        <w:jc w:val="both"/>
        <w:rPr>
          <w:lang w:eastAsia="zh-CN"/>
        </w:rPr>
      </w:pPr>
      <w:r>
        <w:rPr>
          <w:rFonts w:hint="eastAsia" w:ascii="宋体" w:hAnsi="宋体" w:eastAsia="宋体" w:cs="宋体"/>
          <w:sz w:val="24"/>
          <w:szCs w:val="24"/>
          <w:lang w:eastAsia="zh-CN"/>
        </w:rPr>
        <w:t>根据法规</w:t>
      </w:r>
      <w:r>
        <w:rPr>
          <w:sz w:val="24"/>
          <w:szCs w:val="24"/>
          <w:lang w:eastAsia="zh-CN"/>
        </w:rPr>
        <w:t>(EC)No470/2009</w:t>
      </w:r>
      <w:r>
        <w:rPr>
          <w:rFonts w:hint="eastAsia" w:ascii="宋体" w:hAnsi="宋体" w:eastAsia="宋体" w:cs="宋体"/>
          <w:sz w:val="24"/>
          <w:szCs w:val="24"/>
          <w:lang w:eastAsia="zh-CN"/>
        </w:rPr>
        <w:t>第</w:t>
      </w:r>
      <w:r>
        <w:rPr>
          <w:sz w:val="24"/>
          <w:szCs w:val="24"/>
          <w:lang w:eastAsia="zh-CN"/>
        </w:rPr>
        <w:t>5</w:t>
      </w:r>
      <w:r>
        <w:rPr>
          <w:rFonts w:hint="eastAsia" w:ascii="宋体" w:hAnsi="宋体" w:eastAsia="宋体" w:cs="宋体"/>
          <w:sz w:val="24"/>
          <w:szCs w:val="24"/>
          <w:lang w:eastAsia="zh-CN"/>
        </w:rPr>
        <w:t>条，</w:t>
      </w:r>
      <w:r>
        <w:rPr>
          <w:sz w:val="24"/>
          <w:szCs w:val="24"/>
          <w:lang w:eastAsia="zh-CN"/>
        </w:rPr>
        <w:t>EPA</w:t>
      </w:r>
      <w:r>
        <w:rPr>
          <w:rFonts w:hint="eastAsia" w:ascii="宋体" w:hAnsi="宋体" w:eastAsia="宋体" w:cs="宋体"/>
          <w:sz w:val="24"/>
          <w:szCs w:val="24"/>
          <w:lang w:eastAsia="zh-CN"/>
        </w:rPr>
        <w:t>考虑将特定食品中药理活性物质的</w:t>
      </w:r>
      <w:r>
        <w:rPr>
          <w:sz w:val="24"/>
          <w:szCs w:val="24"/>
          <w:lang w:eastAsia="zh-CN"/>
        </w:rPr>
        <w:t>MRLs</w:t>
      </w:r>
      <w:r>
        <w:rPr>
          <w:rFonts w:hint="eastAsia" w:ascii="宋体" w:hAnsi="宋体" w:eastAsia="宋体" w:cs="宋体"/>
          <w:sz w:val="24"/>
          <w:szCs w:val="24"/>
          <w:lang w:eastAsia="zh-CN"/>
        </w:rPr>
        <w:t>用于同一物种衍生的另一种食品，或将一种或多种物种中药理活性物质的</w:t>
      </w:r>
      <w:r>
        <w:rPr>
          <w:sz w:val="24"/>
          <w:szCs w:val="24"/>
          <w:lang w:eastAsia="zh-CN"/>
        </w:rPr>
        <w:t>MRLs</w:t>
      </w:r>
      <w:r>
        <w:rPr>
          <w:rFonts w:hint="eastAsia" w:ascii="宋体" w:hAnsi="宋体" w:eastAsia="宋体" w:cs="宋体"/>
          <w:sz w:val="24"/>
          <w:szCs w:val="24"/>
          <w:lang w:eastAsia="zh-CN"/>
        </w:rPr>
        <w:t>用于其它物种。</w:t>
      </w:r>
      <w:r>
        <w:rPr>
          <w:sz w:val="24"/>
          <w:szCs w:val="24"/>
          <w:lang w:eastAsia="zh-CN"/>
        </w:rPr>
        <w:t>EPA</w:t>
      </w:r>
      <w:r>
        <w:rPr>
          <w:rFonts w:hint="eastAsia" w:ascii="宋体" w:hAnsi="宋体" w:eastAsia="宋体" w:cs="宋体"/>
          <w:sz w:val="24"/>
          <w:szCs w:val="24"/>
          <w:lang w:eastAsia="zh-CN"/>
        </w:rPr>
        <w:t>得出结论，将酮洛芬最大残留限量外推至所有反刍动物和马科动物也是适当的。</w:t>
      </w:r>
    </w:p>
    <w:p w14:paraId="34E92B07">
      <w:pPr>
        <w:pStyle w:val="8"/>
        <w:numPr>
          <w:ilvl w:val="0"/>
          <w:numId w:val="1"/>
        </w:numPr>
        <w:tabs>
          <w:tab w:val="left" w:pos="824"/>
        </w:tabs>
        <w:spacing w:before="121"/>
        <w:ind w:left="823" w:right="116"/>
        <w:jc w:val="both"/>
        <w:rPr>
          <w:lang w:eastAsia="zh-CN"/>
        </w:rPr>
      </w:pPr>
      <w:r>
        <w:rPr>
          <w:rFonts w:hint="eastAsia" w:ascii="宋体" w:hAnsi="宋体" w:eastAsia="宋体" w:cs="宋体"/>
          <w:sz w:val="24"/>
          <w:szCs w:val="24"/>
          <w:lang w:eastAsia="zh-CN"/>
        </w:rPr>
        <w:t>鉴于该局的意见，委员会认为制定牛和猪组织中酮洛芬的推荐</w:t>
      </w:r>
      <w:r>
        <w:rPr>
          <w:sz w:val="24"/>
          <w:szCs w:val="24"/>
          <w:lang w:eastAsia="zh-CN"/>
        </w:rPr>
        <w:t>MRLs</w:t>
      </w:r>
      <w:r>
        <w:rPr>
          <w:rFonts w:hint="eastAsia" w:ascii="宋体" w:hAnsi="宋体" w:eastAsia="宋体" w:cs="宋体"/>
          <w:sz w:val="24"/>
          <w:szCs w:val="24"/>
          <w:lang w:eastAsia="zh-CN"/>
        </w:rPr>
        <w:t>并将其外推至所有反刍动物和马科动物是适当的。</w:t>
      </w:r>
      <w:bookmarkStart w:id="3" w:name="_GoBack"/>
      <w:bookmarkEnd w:id="3"/>
    </w:p>
    <w:p w14:paraId="44C8ED7E">
      <w:pPr>
        <w:pStyle w:val="8"/>
        <w:numPr>
          <w:ilvl w:val="0"/>
          <w:numId w:val="1"/>
        </w:numPr>
        <w:tabs>
          <w:tab w:val="left" w:pos="824"/>
        </w:tabs>
        <w:ind w:right="0" w:hanging="709"/>
        <w:jc w:val="both"/>
        <w:rPr>
          <w:sz w:val="24"/>
        </w:rPr>
      </w:pPr>
      <w:r>
        <w:rPr>
          <w:rFonts w:hint="eastAsia" w:ascii="宋体" w:hAnsi="宋体" w:eastAsia="宋体" w:cs="宋体"/>
          <w:sz w:val="24"/>
          <w:szCs w:val="24"/>
        </w:rPr>
        <w:t>因此，应相应修订法规</w:t>
      </w:r>
      <w:r>
        <w:rPr>
          <w:sz w:val="24"/>
          <w:szCs w:val="24"/>
        </w:rPr>
        <w:t>(EU)No37/2010</w:t>
      </w:r>
      <w:r>
        <w:rPr>
          <w:rFonts w:hint="eastAsia" w:ascii="宋体" w:hAnsi="宋体" w:eastAsia="宋体" w:cs="宋体"/>
          <w:sz w:val="24"/>
          <w:szCs w:val="24"/>
        </w:rPr>
        <w:t>。</w:t>
      </w:r>
    </w:p>
    <w:p w14:paraId="7944FD52">
      <w:pPr>
        <w:pStyle w:val="8"/>
        <w:numPr>
          <w:ilvl w:val="0"/>
          <w:numId w:val="1"/>
        </w:numPr>
        <w:tabs>
          <w:tab w:val="left" w:pos="824"/>
        </w:tabs>
        <w:ind w:right="118"/>
        <w:jc w:val="both"/>
        <w:rPr>
          <w:sz w:val="24"/>
          <w:lang w:eastAsia="zh-CN"/>
        </w:rPr>
      </w:pPr>
      <w:r>
        <w:rPr>
          <w:rFonts w:hint="eastAsia" w:ascii="宋体" w:hAnsi="宋体" w:eastAsia="宋体" w:cs="宋体"/>
          <w:sz w:val="24"/>
          <w:szCs w:val="24"/>
          <w:lang w:eastAsia="zh-CN"/>
        </w:rPr>
        <w:t>本条例规定的措施符合兽药产品常务委员会的意见，</w:t>
      </w:r>
    </w:p>
    <w:p w14:paraId="7BBCBD40">
      <w:pPr>
        <w:pStyle w:val="2"/>
        <w:spacing w:before="120"/>
        <w:ind w:left="115"/>
        <w:rPr>
          <w:lang w:eastAsia="zh-CN"/>
        </w:rPr>
      </w:pPr>
      <w:r>
        <w:rPr>
          <w:rFonts w:hint="eastAsia" w:ascii="宋体" w:hAnsi="宋体" w:eastAsia="宋体" w:cs="宋体"/>
          <w:lang w:eastAsia="zh-CN"/>
        </w:rPr>
        <w:t>通过了本法规</w:t>
      </w:r>
      <w:r>
        <w:rPr>
          <w:lang w:eastAsia="zh-CN"/>
        </w:rPr>
        <w:t>:</w:t>
      </w:r>
    </w:p>
    <w:p w14:paraId="31DCF179">
      <w:pPr>
        <w:pStyle w:val="2"/>
        <w:spacing w:before="3"/>
        <w:rPr>
          <w:sz w:val="31"/>
          <w:lang w:eastAsia="zh-CN"/>
        </w:rPr>
      </w:pPr>
    </w:p>
    <w:p w14:paraId="40F2F105">
      <w:pPr>
        <w:ind w:left="4234"/>
        <w:rPr>
          <w:i/>
          <w:sz w:val="24"/>
          <w:lang w:eastAsia="zh-CN"/>
        </w:rPr>
      </w:pPr>
      <w:r>
        <w:rPr>
          <w:rFonts w:hint="eastAsia" w:ascii="宋体" w:hAnsi="宋体" w:eastAsia="宋体" w:cs="宋体"/>
          <w:i/>
          <w:sz w:val="24"/>
          <w:szCs w:val="24"/>
          <w:lang w:eastAsia="zh-CN"/>
        </w:rPr>
        <w:t>第</w:t>
      </w:r>
      <w:r>
        <w:rPr>
          <w:i/>
          <w:sz w:val="24"/>
          <w:szCs w:val="24"/>
          <w:lang w:eastAsia="zh-CN"/>
        </w:rPr>
        <w:t>1</w:t>
      </w:r>
      <w:r>
        <w:rPr>
          <w:rFonts w:hint="eastAsia" w:ascii="宋体" w:hAnsi="宋体" w:eastAsia="宋体" w:cs="宋体"/>
          <w:i/>
          <w:sz w:val="24"/>
          <w:szCs w:val="24"/>
          <w:lang w:eastAsia="zh-CN"/>
        </w:rPr>
        <w:t>条</w:t>
      </w:r>
    </w:p>
    <w:p w14:paraId="705114F9">
      <w:pPr>
        <w:pStyle w:val="2"/>
        <w:spacing w:before="120"/>
        <w:ind w:left="116"/>
        <w:rPr>
          <w:lang w:eastAsia="zh-CN"/>
        </w:rPr>
      </w:pPr>
      <w:r>
        <w:rPr>
          <w:rFonts w:hint="eastAsia" w:ascii="宋体" w:hAnsi="宋体" w:eastAsia="宋体" w:cs="宋体"/>
          <w:lang w:eastAsia="zh-CN"/>
        </w:rPr>
        <w:t>法规</w:t>
      </w:r>
      <w:r>
        <w:rPr>
          <w:lang w:eastAsia="zh-CN"/>
        </w:rPr>
        <w:t>(EU)No37/2010</w:t>
      </w:r>
      <w:r>
        <w:rPr>
          <w:rFonts w:hint="eastAsia" w:ascii="宋体" w:hAnsi="宋体" w:eastAsia="宋体" w:cs="宋体"/>
          <w:lang w:eastAsia="zh-CN"/>
        </w:rPr>
        <w:t>附件按照本法规附件的规定进行修订。</w:t>
      </w:r>
    </w:p>
    <w:p w14:paraId="47EE8A17">
      <w:pPr>
        <w:pStyle w:val="2"/>
        <w:spacing w:before="4"/>
        <w:rPr>
          <w:sz w:val="31"/>
          <w:lang w:eastAsia="zh-CN"/>
        </w:rPr>
      </w:pPr>
    </w:p>
    <w:p w14:paraId="3BD7DEE6">
      <w:pPr>
        <w:ind w:left="4234"/>
        <w:rPr>
          <w:i/>
          <w:sz w:val="24"/>
          <w:lang w:eastAsia="zh-CN"/>
        </w:rPr>
      </w:pPr>
      <w:r>
        <w:rPr>
          <w:rFonts w:hint="eastAsia" w:ascii="宋体" w:hAnsi="宋体" w:eastAsia="宋体" w:cs="宋体"/>
          <w:i/>
          <w:sz w:val="24"/>
          <w:szCs w:val="24"/>
          <w:lang w:eastAsia="zh-CN"/>
        </w:rPr>
        <w:t>第</w:t>
      </w:r>
      <w:r>
        <w:rPr>
          <w:i/>
          <w:sz w:val="24"/>
          <w:szCs w:val="24"/>
          <w:lang w:eastAsia="zh-CN"/>
        </w:rPr>
        <w:t>2</w:t>
      </w:r>
      <w:r>
        <w:rPr>
          <w:rFonts w:hint="eastAsia" w:ascii="宋体" w:hAnsi="宋体" w:eastAsia="宋体" w:cs="宋体"/>
          <w:i/>
          <w:sz w:val="24"/>
          <w:szCs w:val="24"/>
          <w:lang w:eastAsia="zh-CN"/>
        </w:rPr>
        <w:t>条</w:t>
      </w:r>
    </w:p>
    <w:p w14:paraId="0A4DFFB7">
      <w:pPr>
        <w:spacing w:before="120"/>
        <w:ind w:left="116"/>
        <w:rPr>
          <w:sz w:val="24"/>
          <w:lang w:eastAsia="zh-CN"/>
        </w:rPr>
      </w:pPr>
      <w:r>
        <w:rPr>
          <w:rFonts w:hint="eastAsia" w:ascii="宋体" w:hAnsi="宋体" w:eastAsia="宋体" w:cs="宋体"/>
          <w:sz w:val="24"/>
          <w:szCs w:val="24"/>
          <w:lang w:eastAsia="zh-CN"/>
        </w:rPr>
        <w:t>本条例自在《欧盟公报》上公布后第二十天起生效。</w:t>
      </w:r>
    </w:p>
    <w:p w14:paraId="4F63EDFA">
      <w:pPr>
        <w:pStyle w:val="2"/>
        <w:rPr>
          <w:sz w:val="26"/>
          <w:lang w:eastAsia="zh-CN"/>
        </w:rPr>
      </w:pPr>
    </w:p>
    <w:p w14:paraId="4E643DE4">
      <w:pPr>
        <w:pStyle w:val="2"/>
        <w:spacing w:before="181"/>
        <w:ind w:left="116"/>
        <w:rPr>
          <w:lang w:eastAsia="zh-CN"/>
        </w:rPr>
      </w:pPr>
      <w:r>
        <w:rPr>
          <w:rFonts w:hint="eastAsia" w:ascii="宋体" w:hAnsi="宋体" w:eastAsia="宋体" w:cs="宋体"/>
          <w:lang w:eastAsia="zh-CN"/>
        </w:rPr>
        <w:t>本法规具有整体约束力，直接适用于所有成员国。</w:t>
      </w:r>
    </w:p>
    <w:p w14:paraId="17543718">
      <w:pPr>
        <w:pStyle w:val="2"/>
        <w:rPr>
          <w:sz w:val="20"/>
          <w:lang w:eastAsia="zh-CN"/>
        </w:rPr>
      </w:pPr>
    </w:p>
    <w:p w14:paraId="66CEA53C">
      <w:pPr>
        <w:pStyle w:val="2"/>
        <w:spacing w:before="5"/>
        <w:rPr>
          <w:sz w:val="22"/>
          <w:lang w:eastAsia="zh-CN"/>
        </w:rPr>
      </w:pPr>
    </w:p>
    <w:p w14:paraId="5E9B351A">
      <w:pPr>
        <w:tabs>
          <w:tab w:val="left" w:pos="835"/>
        </w:tabs>
        <w:spacing w:before="99"/>
        <w:ind w:left="835" w:right="114" w:hanging="720"/>
        <w:jc w:val="both"/>
        <w:rPr>
          <w:sz w:val="20"/>
          <w:lang w:eastAsia="zh-CN"/>
        </w:rPr>
      </w:pPr>
      <w:bookmarkStart w:id="2" w:name="_bookmark2"/>
      <w:bookmarkEnd w:id="2"/>
      <w:r>
        <w:rPr>
          <w:spacing w:val="-10"/>
          <w:sz w:val="20"/>
          <w:vertAlign w:val="superscript"/>
          <w:lang w:eastAsia="zh-CN"/>
        </w:rPr>
        <w:t>3</w:t>
      </w:r>
      <w:r>
        <w:rPr>
          <w:sz w:val="20"/>
          <w:lang w:eastAsia="zh-CN"/>
        </w:rPr>
        <w:tab/>
      </w:r>
      <w:r>
        <w:rPr>
          <w:sz w:val="20"/>
          <w:szCs w:val="20"/>
          <w:lang w:eastAsia="zh-CN"/>
        </w:rPr>
        <w:t>2023</w:t>
      </w:r>
      <w:r>
        <w:rPr>
          <w:rFonts w:hint="eastAsia" w:ascii="宋体" w:hAnsi="宋体" w:eastAsia="宋体" w:cs="宋体"/>
          <w:sz w:val="20"/>
          <w:szCs w:val="20"/>
          <w:lang w:eastAsia="zh-CN"/>
        </w:rPr>
        <w:t>年</w:t>
      </w:r>
      <w:r>
        <w:rPr>
          <w:sz w:val="20"/>
          <w:szCs w:val="20"/>
          <w:lang w:eastAsia="zh-CN"/>
        </w:rPr>
        <w:t>10</w:t>
      </w:r>
      <w:r>
        <w:rPr>
          <w:rFonts w:hint="eastAsia" w:ascii="宋体" w:hAnsi="宋体" w:eastAsia="宋体" w:cs="宋体"/>
          <w:sz w:val="20"/>
          <w:szCs w:val="20"/>
          <w:lang w:eastAsia="zh-CN"/>
        </w:rPr>
        <w:t>月</w:t>
      </w:r>
      <w:r>
        <w:rPr>
          <w:sz w:val="20"/>
          <w:szCs w:val="20"/>
          <w:lang w:eastAsia="zh-CN"/>
        </w:rPr>
        <w:t>19</w:t>
      </w:r>
      <w:r>
        <w:rPr>
          <w:rFonts w:hint="eastAsia" w:ascii="宋体" w:hAnsi="宋体" w:eastAsia="宋体" w:cs="宋体"/>
          <w:sz w:val="20"/>
          <w:szCs w:val="20"/>
          <w:lang w:eastAsia="zh-CN"/>
        </w:rPr>
        <w:t>日欧盟委员会（</w:t>
      </w:r>
      <w:r>
        <w:rPr>
          <w:sz w:val="20"/>
          <w:szCs w:val="20"/>
          <w:lang w:eastAsia="zh-CN"/>
        </w:rPr>
        <w:t>EU</w:t>
      </w:r>
      <w:r>
        <w:rPr>
          <w:rFonts w:hint="eastAsia" w:ascii="宋体" w:hAnsi="宋体" w:eastAsia="宋体" w:cs="宋体"/>
          <w:sz w:val="20"/>
          <w:szCs w:val="20"/>
          <w:lang w:eastAsia="zh-CN"/>
        </w:rPr>
        <w:t>）第</w:t>
      </w:r>
      <w:r>
        <w:rPr>
          <w:sz w:val="20"/>
          <w:szCs w:val="20"/>
          <w:lang w:eastAsia="zh-CN"/>
        </w:rPr>
        <w:t>2023/2194</w:t>
      </w:r>
      <w:r>
        <w:rPr>
          <w:rFonts w:hint="eastAsia" w:ascii="宋体" w:hAnsi="宋体" w:eastAsia="宋体" w:cs="宋体"/>
          <w:sz w:val="20"/>
          <w:szCs w:val="20"/>
          <w:lang w:eastAsia="zh-CN"/>
        </w:rPr>
        <w:t>号执行法规，修订了（</w:t>
      </w:r>
      <w:r>
        <w:rPr>
          <w:sz w:val="20"/>
          <w:szCs w:val="20"/>
          <w:lang w:eastAsia="zh-CN"/>
        </w:rPr>
        <w:t>EU</w:t>
      </w:r>
      <w:r>
        <w:rPr>
          <w:rFonts w:hint="eastAsia" w:ascii="宋体" w:hAnsi="宋体" w:eastAsia="宋体" w:cs="宋体"/>
          <w:sz w:val="20"/>
          <w:szCs w:val="20"/>
          <w:lang w:eastAsia="zh-CN"/>
        </w:rPr>
        <w:t>）第</w:t>
      </w:r>
      <w:r>
        <w:rPr>
          <w:sz w:val="20"/>
          <w:szCs w:val="20"/>
          <w:lang w:eastAsia="zh-CN"/>
        </w:rPr>
        <w:t>37/2010</w:t>
      </w:r>
      <w:r>
        <w:rPr>
          <w:rFonts w:hint="eastAsia" w:ascii="宋体" w:hAnsi="宋体" w:eastAsia="宋体" w:cs="宋体"/>
          <w:sz w:val="20"/>
          <w:szCs w:val="20"/>
          <w:lang w:eastAsia="zh-CN"/>
        </w:rPr>
        <w:t>号法规，涉及物质酮洛芬在动物源性食品中的最大残留限量的分类（</w:t>
      </w:r>
      <w:r>
        <w:rPr>
          <w:sz w:val="20"/>
          <w:szCs w:val="20"/>
          <w:lang w:eastAsia="zh-CN"/>
        </w:rPr>
        <w:t>OJL2023/2194,20.10.20 23,ELI</w:t>
      </w:r>
      <w:r>
        <w:rPr>
          <w:rFonts w:hint="eastAsia" w:ascii="宋体" w:hAnsi="宋体" w:eastAsia="宋体" w:cs="宋体"/>
          <w:sz w:val="20"/>
          <w:szCs w:val="20"/>
          <w:lang w:eastAsia="zh-CN"/>
        </w:rPr>
        <w:t>：</w:t>
      </w:r>
      <w:r>
        <w:fldChar w:fldCharType="begin"/>
      </w:r>
      <w:r>
        <w:instrText xml:space="preserve"> HYPERLINK "http://data.europa.eu/eli/reg_impl/2023/2194/oj" \h </w:instrText>
      </w:r>
      <w:r>
        <w:fldChar w:fldCharType="separate"/>
      </w:r>
      <w:r>
        <w:rPr>
          <w:color w:val="0000FF"/>
          <w:sz w:val="20"/>
          <w:u w:val="single" w:color="0000FF"/>
          <w:lang w:eastAsia="zh-CN"/>
        </w:rPr>
        <w:t>http://data.europa.eu/eli/reg_impl/2023/2194/oj</w:t>
      </w:r>
      <w:r>
        <w:rPr>
          <w:color w:val="0000FF"/>
          <w:sz w:val="20"/>
          <w:u w:val="single" w:color="0000FF"/>
          <w:lang w:eastAsia="zh-CN"/>
        </w:rPr>
        <w:fldChar w:fldCharType="end"/>
      </w:r>
      <w:r>
        <w:rPr>
          <w:sz w:val="20"/>
          <w:lang w:eastAsia="zh-CN"/>
        </w:rPr>
        <w:t>).</w:t>
      </w:r>
    </w:p>
    <w:p w14:paraId="46396438">
      <w:pPr>
        <w:jc w:val="both"/>
        <w:rPr>
          <w:sz w:val="20"/>
          <w:lang w:eastAsia="zh-CN"/>
        </w:rPr>
        <w:sectPr>
          <w:footerReference r:id="rId5" w:type="default"/>
          <w:pgSz w:w="11910" w:h="16840"/>
          <w:pgMar w:top="1040" w:right="1300" w:bottom="1800" w:left="1300" w:header="0" w:footer="1616" w:gutter="0"/>
          <w:cols w:space="720" w:num="1"/>
        </w:sectPr>
      </w:pPr>
    </w:p>
    <w:p w14:paraId="093BEDCE">
      <w:pPr>
        <w:pStyle w:val="2"/>
        <w:spacing w:before="73"/>
        <w:ind w:left="115"/>
      </w:pPr>
      <w:r>
        <w:rPr>
          <w:rFonts w:hint="eastAsia" w:ascii="宋体" w:hAnsi="宋体" w:eastAsia="宋体" w:cs="宋体"/>
        </w:rPr>
        <w:t>订于布鲁塞尔，</w:t>
      </w:r>
    </w:p>
    <w:p w14:paraId="27CB47F0">
      <w:pPr>
        <w:pStyle w:val="2"/>
        <w:rPr>
          <w:sz w:val="20"/>
        </w:rPr>
      </w:pPr>
    </w:p>
    <w:p w14:paraId="6D23321B">
      <w:pPr>
        <w:pStyle w:val="2"/>
        <w:rPr>
          <w:sz w:val="20"/>
        </w:rPr>
      </w:pPr>
    </w:p>
    <w:p w14:paraId="6C886EDA">
      <w:pPr>
        <w:pStyle w:val="2"/>
        <w:spacing w:before="7"/>
        <w:rPr>
          <w:sz w:val="22"/>
        </w:rPr>
      </w:pPr>
    </w:p>
    <w:p w14:paraId="69F0A872">
      <w:pPr>
        <w:ind w:left="4368" w:right="2335"/>
        <w:rPr>
          <w:i/>
          <w:sz w:val="24"/>
        </w:rPr>
      </w:pPr>
      <w:r>
        <w:rPr>
          <w:i/>
          <w:sz w:val="24"/>
          <w:szCs w:val="24"/>
        </w:rPr>
        <w:t>Ursula VON DER LEYEN</w:t>
      </w:r>
      <w:r>
        <w:rPr>
          <w:rFonts w:hint="eastAsia" w:ascii="宋体" w:hAnsi="宋体" w:eastAsia="宋体" w:cs="宋体"/>
          <w:i/>
          <w:sz w:val="24"/>
          <w:szCs w:val="24"/>
        </w:rPr>
        <w:t>委员会</w:t>
      </w:r>
    </w:p>
    <w:p w14:paraId="5A779BF1">
      <w:pPr>
        <w:ind w:left="4368"/>
        <w:rPr>
          <w:i/>
          <w:sz w:val="24"/>
        </w:rPr>
      </w:pPr>
      <w:r>
        <w:rPr>
          <w:rFonts w:hint="eastAsia" w:ascii="宋体" w:hAnsi="宋体" w:eastAsia="宋体" w:cs="宋体"/>
          <w:i/>
          <w:sz w:val="24"/>
          <w:szCs w:val="24"/>
        </w:rPr>
        <w:t>总统</w:t>
      </w:r>
    </w:p>
    <w:p w14:paraId="6C779B50">
      <w:pPr>
        <w:pStyle w:val="2"/>
        <w:rPr>
          <w:i/>
          <w:sz w:val="20"/>
        </w:rPr>
      </w:pPr>
    </w:p>
    <w:p w14:paraId="18ECAC58">
      <w:pPr>
        <w:pStyle w:val="2"/>
        <w:rPr>
          <w:i/>
          <w:sz w:val="20"/>
        </w:rPr>
      </w:pPr>
    </w:p>
    <w:p w14:paraId="58148BBA">
      <w:pPr>
        <w:pStyle w:val="2"/>
        <w:rPr>
          <w:i/>
          <w:sz w:val="20"/>
        </w:rPr>
      </w:pPr>
    </w:p>
    <w:p w14:paraId="6506556B">
      <w:pPr>
        <w:pStyle w:val="2"/>
        <w:rPr>
          <w:i/>
          <w:sz w:val="20"/>
        </w:rPr>
      </w:pPr>
    </w:p>
    <w:p w14:paraId="42944704">
      <w:pPr>
        <w:pStyle w:val="2"/>
        <w:spacing w:before="7"/>
        <w:rPr>
          <w:i/>
          <w:sz w:val="16"/>
        </w:rPr>
      </w:pPr>
      <w:r>
        <w:pict>
          <v:shape id="docshape23" o:spid="_x0000_s1026" o:spt="100" style="position:absolute;left:0pt;margin-left:95.1pt;margin-top:10.75pt;height:408.8pt;width:387.95pt;mso-position-horizontal-relative:page;mso-wrap-distance-bottom:0pt;mso-wrap-distance-top:0pt;z-index:-251646976;mso-width-relative:page;mso-height-relative:page;" fillcolor="#C0C0C0" filled="t" stroked="f" coordorigin="1902,215" coordsize="7759,8176" adj=",," path="m5032,7487l5025,7415,5011,7340,4988,7259,4956,7171,4914,7076,4887,7019,4855,6960,4820,6898,4781,6834,4737,6768,4690,6700,4687,6694,4687,7302,4686,7361,4678,7420,4660,7479,4628,7539,4585,7600,4528,7662,4259,7930,2362,6033,2626,5768,2699,5702,2767,5653,2832,5620,2893,5604,2950,5601,3014,5608,3084,5623,3160,5648,3242,5682,3330,5725,3381,5754,3434,5787,3489,5824,3545,5864,3604,5909,3664,5957,3727,6010,3791,6067,3857,6127,3925,6192,3994,6260,4063,6330,4128,6398,4189,6465,4246,6529,4300,6592,4350,6654,4397,6713,4440,6771,4492,6846,4538,6919,4577,6989,4611,7055,4639,7119,4662,7179,4679,7241,4687,7302,4687,6694,4639,6629,4597,6572,4552,6515,4505,6457,4455,6399,4403,6339,4349,6279,4292,6218,4233,6156,4171,6094,4111,6034,4051,5977,3992,5922,3933,5868,3874,5817,3816,5768,3758,5721,3701,5675,3644,5632,3601,5601,3587,5591,3531,5551,3455,5502,3380,5457,3306,5416,3234,5380,3163,5348,3093,5320,3025,5297,2958,5277,2878,5260,2801,5252,2729,5254,2660,5265,2596,5284,2537,5311,2474,5352,2407,5406,2336,5473,1902,5906,4386,8390,4840,7936,4845,7930,4893,7878,4938,7818,4974,7756,5000,7691,5019,7625,5029,7557,5032,7487xm6768,6008l5891,5560,5873,5551,5787,5508,5704,5470,5624,5436,5548,5406,5475,5381,5405,5359,5355,5347,5301,5340,5243,5336,5180,5335,5214,5269,5238,5200,5252,5131,5258,5059,5254,4987,5241,4912,5218,4837,5191,4770,5160,4704,5123,4637,5081,4570,5033,4504,4980,4437,4931,4380,4931,4922,4927,4979,4913,5035,4886,5092,4847,5148,4796,5205,4438,5563,3616,4742,4014,4343,4072,4294,4133,4261,4196,4242,4263,4239,4333,4251,4404,4277,4475,4312,4546,4357,4617,4411,4687,4477,4744,4537,4794,4600,4838,4665,4876,4732,4905,4799,4924,4862,4931,4922,4931,4380,4922,4371,4859,4305,4800,4248,4790,4239,4740,4195,4680,4145,4619,4099,4558,4057,4495,4018,4432,3983,4346,3941,4265,3911,4190,3892,4120,3884,4055,3885,3993,3900,3930,3926,3865,3964,3800,4014,3733,4075,3175,4634,5659,7117,5825,6951,4722,5848,4915,5655,4946,5625,4974,5602,4998,5585,5020,5574,5050,5565,5065,5563,5084,5560,5122,5560,5163,5563,5210,5573,5267,5589,5335,5613,5413,5645,5472,5671,5538,5702,5612,5736,5692,5775,5780,5819,6559,6217,6768,6008xm7966,4810l7336,4394,6558,3885,6558,4178,6131,4605,5587,3805,5541,3738,5492,3668,5443,3599,5393,3531,5343,3463,5292,3395,5240,3328,5188,3262,5135,3196,5187,3235,5244,3276,5368,3365,5580,3513,6558,4178,6558,3885,5505,3196,4967,2841,4788,3021,4832,3087,6788,5988,6965,5811,6351,4921,6667,4605,6877,4394,7776,5000,7966,4810xm8275,4501l7146,3373,7439,3080,7737,2782,7444,2489,6853,3080,6084,2311,6767,1628,6474,1335,5624,2184,8108,4668,8275,4501xm9661,3115l7470,925,7887,508,7593,215,6596,1213,6889,1506,7303,1091,9494,3282,9661,3115xe">
            <v:path arrowok="t" o:connecttype="segments"/>
            <v:fill on="t" opacity="32896f" focussize="0,0"/>
            <v:stroke on="f" joinstyle="round"/>
            <v:imagedata o:title=""/>
            <o:lock v:ext="edit"/>
            <w10:wrap type="topAndBottom"/>
          </v:shape>
        </w:pict>
      </w:r>
    </w:p>
    <w:sectPr>
      <w:footerReference r:id="rId6" w:type="default"/>
      <w:pgSz w:w="11910" w:h="16840"/>
      <w:pgMar w:top="1040" w:right="1300" w:bottom="1240" w:left="1300" w:header="0" w:footer="104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6DDEB">
    <w:pPr>
      <w:pStyle w:val="2"/>
      <w:spacing w:line="14" w:lineRule="auto"/>
      <w:rPr>
        <w:sz w:val="20"/>
      </w:rPr>
    </w:pPr>
    <w:r>
      <w:pict>
        <v:shape id="docshape1" o:spid="_x0000_s2060" o:spt="202" type="#_x0000_t202" style="position:absolute;left:0pt;margin-left:27.3pt;margin-top:778.75pt;height:28.85pt;width:35.2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7A83648D">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2" o:spid="_x0000_s2059" o:spt="202" type="#_x0000_t202" style="position:absolute;left:0pt;margin-left:532.5pt;margin-top:778.75pt;height:28.85pt;width:35.2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4CBA8EBB">
                <w:pPr>
                  <w:spacing w:before="4"/>
                  <w:ind w:left="20"/>
                  <w:rPr>
                    <w:rFonts w:ascii="Arial"/>
                    <w:b/>
                    <w:sz w:val="48"/>
                  </w:rPr>
                </w:pPr>
                <w:r>
                  <w:rPr>
                    <w:rFonts w:hint="eastAsia" w:ascii="宋体" w:hAnsi="宋体" w:eastAsia="宋体" w:cs="宋体"/>
                    <w:b/>
                    <w:sz w:val="48"/>
                    <w:szCs w:val="48"/>
                  </w:rPr>
                  <w:t>英语</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958A">
    <w:pPr>
      <w:pStyle w:val="2"/>
      <w:spacing w:line="14" w:lineRule="auto"/>
      <w:rPr>
        <w:sz w:val="20"/>
      </w:rPr>
    </w:pPr>
    <w:r>
      <w:pict>
        <v:shape id="docshape10" o:spid="_x0000_s2058" o:spt="202" type="#_x0000_t202" style="position:absolute;left:0pt;margin-left:27.3pt;margin-top:778.75pt;height:28.85pt;width:35.2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0FABA6FB">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11" o:spid="_x0000_s2057" o:spt="202" type="#_x0000_t202" style="position:absolute;left:0pt;margin-left:532.5pt;margin-top:778.75pt;height:28.85pt;width:35.2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034D7096">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12" o:spid="_x0000_s2056" o:spt="202" type="#_x0000_t202" style="position:absolute;left:0pt;margin-left:291.6pt;margin-top:789.8pt;height:15.3pt;width:13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4A26F7B8">
                <w:pPr>
                  <w:pStyle w:val="2"/>
                  <w:spacing w:before="10"/>
                  <w:ind w:left="60"/>
                </w:pPr>
                <w:r>
                  <w:fldChar w:fldCharType="begin"/>
                </w:r>
                <w:r>
                  <w:instrText xml:space="preserve"> PAGE </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0533C">
    <w:pPr>
      <w:pStyle w:val="2"/>
      <w:spacing w:line="14" w:lineRule="auto"/>
      <w:rPr>
        <w:sz w:val="20"/>
      </w:rPr>
    </w:pPr>
    <w:r>
      <w:pict>
        <v:rect id="docshape15" o:spid="_x0000_s2055" o:spt="1" style="position:absolute;left:0pt;margin-left:70.8pt;margin-top:695.4pt;height:0.6pt;width:144pt;mso-position-horizontal-relative:page;mso-position-vertical-relative:page;z-index:-251653120;mso-width-relative:page;mso-height-relative:page;" fillcolor="#000000" filled="t" stroked="f" coordsize="21600,21600">
          <v:path/>
          <v:fill on="t" focussize="0,0"/>
          <v:stroke on="f"/>
          <v:imagedata o:title=""/>
          <o:lock v:ext="edit"/>
          <v:textbox>
            <w:txbxContent>
              <w:p w14:paraId="2737A27C"/>
            </w:txbxContent>
          </v:textbox>
        </v:rect>
      </w:pict>
    </w:r>
    <w:r>
      <w:pict>
        <v:shape id="docshape16" o:spid="_x0000_s2054" o:spt="202" type="#_x0000_t202" style="position:absolute;left:0pt;margin-left:27.3pt;margin-top:778.75pt;height:28.85pt;width:35.2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14:paraId="4AB220EF">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17" o:spid="_x0000_s2053" o:spt="202" type="#_x0000_t202" style="position:absolute;left:0pt;margin-left:532.5pt;margin-top:778.75pt;height:28.85pt;width:35.25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14:paraId="771C5F13">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18" o:spid="_x0000_s2052" o:spt="202" type="#_x0000_t202" style="position:absolute;left:0pt;margin-left:291.6pt;margin-top:789.8pt;height:15.3pt;width:13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14:paraId="36EDE83C">
                <w:pPr>
                  <w:pStyle w:val="2"/>
                  <w:spacing w:before="10"/>
                  <w:ind w:left="60"/>
                </w:pPr>
                <w:r>
                  <w:fldChar w:fldCharType="begin"/>
                </w:r>
                <w:r>
                  <w:instrText xml:space="preserve"> PAGE </w:instrText>
                </w:r>
                <w:r>
                  <w:fldChar w:fldCharType="separate"/>
                </w:r>
                <w:r>
                  <w:t>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36627">
    <w:pPr>
      <w:pStyle w:val="2"/>
      <w:spacing w:line="14" w:lineRule="auto"/>
      <w:rPr>
        <w:sz w:val="20"/>
      </w:rPr>
    </w:pPr>
    <w:r>
      <w:pict>
        <v:shape id="docshape20" o:spid="_x0000_s2051" o:spt="202" type="#_x0000_t202" style="position:absolute;left:0pt;margin-left:27.3pt;margin-top:778.75pt;height:28.85pt;width:35.25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14:paraId="4BEB3C28">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21" o:spid="_x0000_s2050" o:spt="202" type="#_x0000_t202" style="position:absolute;left:0pt;margin-left:532.5pt;margin-top:778.75pt;height:28.85pt;width:35.25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14:paraId="57EBAE47">
                <w:pPr>
                  <w:spacing w:before="4"/>
                  <w:ind w:left="20"/>
                  <w:rPr>
                    <w:rFonts w:ascii="Arial"/>
                    <w:b/>
                    <w:sz w:val="48"/>
                  </w:rPr>
                </w:pPr>
                <w:r>
                  <w:rPr>
                    <w:rFonts w:hint="eastAsia" w:ascii="宋体" w:hAnsi="宋体" w:eastAsia="宋体" w:cs="宋体"/>
                    <w:b/>
                    <w:sz w:val="48"/>
                    <w:szCs w:val="48"/>
                  </w:rPr>
                  <w:t>英语</w:t>
                </w:r>
              </w:p>
            </w:txbxContent>
          </v:textbox>
        </v:shape>
      </w:pict>
    </w:r>
    <w:r>
      <w:pict>
        <v:shape id="docshape22" o:spid="_x0000_s2049" o:spt="202" type="#_x0000_t202" style="position:absolute;left:0pt;margin-left:291.6pt;margin-top:789.8pt;height:15.3pt;width:13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14:paraId="6A26DF1C">
                <w:pPr>
                  <w:pStyle w:val="2"/>
                  <w:spacing w:before="10"/>
                  <w:ind w:left="60"/>
                </w:pPr>
                <w:r>
                  <w:fldChar w:fldCharType="begin"/>
                </w:r>
                <w:r>
                  <w:instrText xml:space="preserve"> PAGE </w:instrText>
                </w:r>
                <w:r>
                  <w:fldChar w:fldCharType="separate"/>
                </w:r>
                <w:r>
                  <w:t>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4674A"/>
    <w:multiLevelType w:val="multilevel"/>
    <w:tmpl w:val="16D4674A"/>
    <w:lvl w:ilvl="0" w:tentative="0">
      <w:start w:val="1"/>
      <w:numFmt w:val="decimal"/>
      <w:lvlText w:val="(%1)"/>
      <w:lvlJc w:val="left"/>
      <w:pPr>
        <w:ind w:left="824" w:hanging="708"/>
        <w:jc w:val="left"/>
      </w:pPr>
      <w:rPr>
        <w:rFonts w:hint="default"/>
        <w:spacing w:val="-1"/>
        <w:w w:val="100"/>
        <w:lang w:val="en-GB" w:eastAsia="en-US" w:bidi="ar-SA"/>
      </w:rPr>
    </w:lvl>
    <w:lvl w:ilvl="1" w:tentative="0">
      <w:start w:val="0"/>
      <w:numFmt w:val="bullet"/>
      <w:lvlText w:val="•"/>
      <w:lvlJc w:val="left"/>
      <w:pPr>
        <w:ind w:left="1668" w:hanging="708"/>
      </w:pPr>
      <w:rPr>
        <w:rFonts w:hint="default"/>
        <w:lang w:val="en-GB" w:eastAsia="en-US" w:bidi="ar-SA"/>
      </w:rPr>
    </w:lvl>
    <w:lvl w:ilvl="2" w:tentative="0">
      <w:start w:val="0"/>
      <w:numFmt w:val="bullet"/>
      <w:lvlText w:val="•"/>
      <w:lvlJc w:val="left"/>
      <w:pPr>
        <w:ind w:left="2517" w:hanging="708"/>
      </w:pPr>
      <w:rPr>
        <w:rFonts w:hint="default"/>
        <w:lang w:val="en-GB" w:eastAsia="en-US" w:bidi="ar-SA"/>
      </w:rPr>
    </w:lvl>
    <w:lvl w:ilvl="3" w:tentative="0">
      <w:start w:val="0"/>
      <w:numFmt w:val="bullet"/>
      <w:lvlText w:val="•"/>
      <w:lvlJc w:val="left"/>
      <w:pPr>
        <w:ind w:left="3365" w:hanging="708"/>
      </w:pPr>
      <w:rPr>
        <w:rFonts w:hint="default"/>
        <w:lang w:val="en-GB" w:eastAsia="en-US" w:bidi="ar-SA"/>
      </w:rPr>
    </w:lvl>
    <w:lvl w:ilvl="4" w:tentative="0">
      <w:start w:val="0"/>
      <w:numFmt w:val="bullet"/>
      <w:lvlText w:val="•"/>
      <w:lvlJc w:val="left"/>
      <w:pPr>
        <w:ind w:left="4214" w:hanging="708"/>
      </w:pPr>
      <w:rPr>
        <w:rFonts w:hint="default"/>
        <w:lang w:val="en-GB" w:eastAsia="en-US" w:bidi="ar-SA"/>
      </w:rPr>
    </w:lvl>
    <w:lvl w:ilvl="5" w:tentative="0">
      <w:start w:val="0"/>
      <w:numFmt w:val="bullet"/>
      <w:lvlText w:val="•"/>
      <w:lvlJc w:val="left"/>
      <w:pPr>
        <w:ind w:left="5063" w:hanging="708"/>
      </w:pPr>
      <w:rPr>
        <w:rFonts w:hint="default"/>
        <w:lang w:val="en-GB" w:eastAsia="en-US" w:bidi="ar-SA"/>
      </w:rPr>
    </w:lvl>
    <w:lvl w:ilvl="6" w:tentative="0">
      <w:start w:val="0"/>
      <w:numFmt w:val="bullet"/>
      <w:lvlText w:val="•"/>
      <w:lvlJc w:val="left"/>
      <w:pPr>
        <w:ind w:left="5911" w:hanging="708"/>
      </w:pPr>
      <w:rPr>
        <w:rFonts w:hint="default"/>
        <w:lang w:val="en-GB" w:eastAsia="en-US" w:bidi="ar-SA"/>
      </w:rPr>
    </w:lvl>
    <w:lvl w:ilvl="7" w:tentative="0">
      <w:start w:val="0"/>
      <w:numFmt w:val="bullet"/>
      <w:lvlText w:val="•"/>
      <w:lvlJc w:val="left"/>
      <w:pPr>
        <w:ind w:left="6760" w:hanging="708"/>
      </w:pPr>
      <w:rPr>
        <w:rFonts w:hint="default"/>
        <w:lang w:val="en-GB" w:eastAsia="en-US" w:bidi="ar-SA"/>
      </w:rPr>
    </w:lvl>
    <w:lvl w:ilvl="8" w:tentative="0">
      <w:start w:val="0"/>
      <w:numFmt w:val="bullet"/>
      <w:lvlText w:val="•"/>
      <w:lvlJc w:val="left"/>
      <w:pPr>
        <w:ind w:left="7609" w:hanging="708"/>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E11510"/>
    <w:rsid w:val="001047EB"/>
    <w:rsid w:val="00E11510"/>
    <w:rsid w:val="1C4032FE"/>
    <w:rsid w:val="22FD3CF7"/>
    <w:rsid w:val="47CF53B3"/>
    <w:rsid w:val="58003366"/>
    <w:rsid w:val="5CAE15E3"/>
    <w:rsid w:val="6B6E08BB"/>
    <w:rsid w:val="6D0E7225"/>
    <w:rsid w:val="744451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GB"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footer"/>
    <w:basedOn w:val="1"/>
    <w:link w:val="11"/>
    <w:unhideWhenUsed/>
    <w:uiPriority w:val="99"/>
    <w:pPr>
      <w:tabs>
        <w:tab w:val="center" w:pos="4153"/>
        <w:tab w:val="right" w:pos="8306"/>
      </w:tabs>
      <w:snapToGrid w:val="0"/>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20"/>
      <w:ind w:left="823" w:right="115" w:hanging="708"/>
      <w:jc w:val="both"/>
    </w:pPr>
  </w:style>
  <w:style w:type="paragraph" w:customStyle="1" w:styleId="9">
    <w:name w:val="Table Paragraph"/>
    <w:basedOn w:val="1"/>
    <w:qFormat/>
    <w:uiPriority w:val="1"/>
  </w:style>
  <w:style w:type="character" w:customStyle="1" w:styleId="10">
    <w:name w:val="页眉 字符"/>
    <w:basedOn w:val="6"/>
    <w:link w:val="4"/>
    <w:qFormat/>
    <w:uiPriority w:val="99"/>
    <w:rPr>
      <w:rFonts w:ascii="Times New Roman" w:hAnsi="Times New Roman" w:eastAsia="Times New Roman" w:cs="Times New Roman"/>
      <w:sz w:val="18"/>
      <w:szCs w:val="18"/>
      <w:lang w:val="en-GB"/>
    </w:rPr>
  </w:style>
  <w:style w:type="character" w:customStyle="1" w:styleId="11">
    <w:name w:val="页脚 字符"/>
    <w:basedOn w:val="6"/>
    <w:link w:val="3"/>
    <w:qFormat/>
    <w:uiPriority w:val="99"/>
    <w:rPr>
      <w:rFonts w:ascii="Times New Roman" w:hAnsi="Times New Roman" w:eastAsia="Times New Roman" w:cs="Times New Roman"/>
      <w:sz w:val="18"/>
      <w:szCs w:val="18"/>
      <w:lang w:val="en-G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2.xml><?xml version="1.0" encoding="utf-8"?>
<rootClass>
  <codeData xmlns="urn:rootClass:codeData">C296B5D6BBCE304183819A28E1134580D68AC4D7BCCC3F56BB9CB9CABCC2C53B53F45F95498D31489FB59FF056AADA3257F866B9ABF31768BE81CB0033BB1F5FF3100D130514080979EF5AAD92E72B62A79BB8CBBD3092C50B2AEA7BA92C60A0E176D132176AADE020233043C6C8CBCF16F826B94892C40263B55BE1475ABDD0370956A99BE3276BA3AB97</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CDFC00-2487-445A-836D-FF62E2D9C3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1180</Words>
  <Characters>1672</Characters>
  <Lines>89</Lines>
  <Paragraphs>35</Paragraphs>
  <TotalTime>3</TotalTime>
  <ScaleCrop>false</ScaleCrop>
  <LinksUpToDate>false</LinksUpToDate>
  <CharactersWithSpaces>1689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2025-02-11T08:16:00Z</dcterms:created>
  <dc:creator>JONES Sharon (SANCO)</dc:creator>
  <cp:lastModifiedBy>欢喜葡萄</cp:lastModifiedBy>
  <cp:lastPrinted>2025-02-11T08:16:00Z</cp:lastPrinted>
  <dcterms:modified xsi:type="dcterms:W3CDTF">2025-02-11T08:33:20Z</dcterms:modified>
  <dc:subject>-</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Creator">
    <vt:lpwstr>Acrobat PDFMaker 24 for Word</vt:lpwstr>
  </property>
  <property fmtid="{D5CDD505-2E9C-101B-9397-08002B2CF9AE}" pid="4" name="LastSaved">
    <vt:filetime>2025-02-11T00:00:00Z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2052-12.1.0.19770</vt:lpwstr>
  </property>
  <property fmtid="{D5CDD505-2E9C-101B-9397-08002B2CF9AE}" pid="7" name="ICV">
    <vt:lpwstr>4A5704A9FB974399A5275E7F639E5201_13</vt:lpwstr>
  </property>
</Properties>
</file>