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BBE152">
      <w:pPr>
        <w:pStyle w:val="2"/>
        <w:spacing w:before="6"/>
        <w:rPr>
          <w:rFonts w:ascii="Times New Roman"/>
          <w:sz w:val="25"/>
        </w:rPr>
      </w:pPr>
    </w:p>
    <w:p w14:paraId="58C58BA5">
      <w:pPr>
        <w:pStyle w:val="5"/>
        <w:ind w:left="0" w:leftChars="0" w:firstLine="0" w:firstLineChars="0"/>
        <w:rPr>
          <w:lang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eastAsia="zh-CN"/>
        </w:rPr>
        <w:t>修订食品、食品添加剂等规范和标准。</w:t>
      </w:r>
    </w:p>
    <w:p w14:paraId="1BE1392A">
      <w:pPr>
        <w:pStyle w:val="2"/>
        <w:rPr>
          <w:b/>
          <w:sz w:val="30"/>
          <w:lang w:eastAsia="zh-CN"/>
        </w:rPr>
      </w:pPr>
    </w:p>
    <w:p w14:paraId="3394FBFC">
      <w:pPr>
        <w:pStyle w:val="2"/>
        <w:spacing w:before="5"/>
        <w:rPr>
          <w:b/>
          <w:sz w:val="27"/>
          <w:lang w:eastAsia="zh-CN"/>
        </w:rPr>
      </w:pPr>
    </w:p>
    <w:p w14:paraId="51B72F3D">
      <w:pPr>
        <w:pStyle w:val="2"/>
        <w:spacing w:line="264" w:lineRule="auto"/>
        <w:ind w:left="102" w:right="46"/>
        <w:rPr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t>日本政府将修订仪器、容器和包装（</w:t>
      </w:r>
      <w:r>
        <w:rPr>
          <w:lang w:eastAsia="zh-CN"/>
        </w:rPr>
        <w:t>ACP</w:t>
      </w:r>
      <w:r>
        <w:rPr>
          <w:rFonts w:hint="eastAsia" w:ascii="微软雅黑" w:hAnsi="微软雅黑" w:eastAsia="微软雅黑" w:cs="微软雅黑"/>
          <w:lang w:eastAsia="zh-CN"/>
        </w:rPr>
        <w:t>）的规范和标准。</w:t>
      </w:r>
    </w:p>
    <w:p w14:paraId="2B162336">
      <w:pPr>
        <w:pStyle w:val="2"/>
        <w:rPr>
          <w:sz w:val="20"/>
          <w:lang w:eastAsia="zh-CN"/>
        </w:rPr>
      </w:pPr>
    </w:p>
    <w:p w14:paraId="662FC4BA">
      <w:pPr>
        <w:pStyle w:val="2"/>
        <w:spacing w:before="4"/>
        <w:rPr>
          <w:sz w:val="12"/>
          <w:lang w:eastAsia="zh-CN"/>
        </w:rPr>
      </w:pPr>
      <w:r>
        <w:pict>
          <v:shape id="docshape1" o:spid="_x0000_s1027" o:spt="202" type="#_x0000_t202" style="position:absolute;left:0pt;margin-left:85.35pt;margin-top:8.55pt;height:14.3pt;width:35.3pt;mso-position-horizontal-relative:page;mso-wrap-distance-bottom:0pt;mso-wrap-distance-top:0pt;z-index:-251657216;mso-width-relative:page;mso-height-relative:page;" filled="f" coordsize="21600,21600">
            <v:path/>
            <v:fill on="f" focussize="0,0"/>
            <v:stroke weight="0.48pt" joinstyle="miter"/>
            <v:imagedata o:title=""/>
            <o:lock v:ext="edit"/>
            <v:textbox inset="0mm,0mm,0mm,0mm">
              <w:txbxContent>
                <w:p w14:paraId="381DA646">
                  <w:pPr>
                    <w:pStyle w:val="2"/>
                    <w:spacing w:line="274" w:lineRule="exact"/>
                    <w:ind w:right="-15"/>
                  </w:pPr>
                  <w:r>
                    <w:rPr>
                      <w:rFonts w:hint="eastAsia" w:ascii="微软雅黑" w:hAnsi="微软雅黑" w:eastAsia="微软雅黑" w:cs="微软雅黑"/>
                    </w:rPr>
                    <w:t>提纲</w:t>
                  </w:r>
                </w:p>
              </w:txbxContent>
            </v:textbox>
            <w10:wrap type="topAndBottom"/>
          </v:shape>
        </w:pict>
      </w:r>
    </w:p>
    <w:p w14:paraId="77DD265E">
      <w:pPr>
        <w:pStyle w:val="2"/>
        <w:rPr>
          <w:sz w:val="20"/>
          <w:lang w:eastAsia="zh-CN"/>
        </w:rPr>
      </w:pPr>
    </w:p>
    <w:p w14:paraId="46850FAA">
      <w:pPr>
        <w:pStyle w:val="2"/>
        <w:spacing w:before="207" w:line="312" w:lineRule="auto"/>
        <w:ind w:left="104" w:right="106"/>
        <w:jc w:val="both"/>
        <w:rPr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t>根据《食品卫生法》（</w:t>
      </w:r>
      <w:r>
        <w:rPr>
          <w:lang w:eastAsia="zh-CN"/>
        </w:rPr>
        <w:t>1947</w:t>
      </w:r>
      <w:r>
        <w:rPr>
          <w:rFonts w:hint="eastAsia" w:ascii="微软雅黑" w:hAnsi="微软雅黑" w:eastAsia="微软雅黑" w:cs="微软雅黑"/>
          <w:lang w:eastAsia="zh-CN"/>
        </w:rPr>
        <w:t>年第</w:t>
      </w:r>
      <w:r>
        <w:rPr>
          <w:lang w:eastAsia="zh-CN"/>
        </w:rPr>
        <w:t>233</w:t>
      </w:r>
      <w:r>
        <w:rPr>
          <w:rFonts w:hint="eastAsia" w:ascii="微软雅黑" w:hAnsi="微软雅黑" w:eastAsia="微软雅黑" w:cs="微软雅黑"/>
          <w:lang w:eastAsia="zh-CN"/>
        </w:rPr>
        <w:t>号法案）第</w:t>
      </w:r>
      <w:r>
        <w:rPr>
          <w:lang w:eastAsia="zh-CN"/>
        </w:rPr>
        <w:t>18</w:t>
      </w:r>
      <w:r>
        <w:rPr>
          <w:rFonts w:hint="eastAsia" w:ascii="微软雅黑" w:hAnsi="微软雅黑" w:eastAsia="微软雅黑" w:cs="微软雅黑"/>
          <w:lang w:eastAsia="zh-CN"/>
        </w:rPr>
        <w:t>条第</w:t>
      </w:r>
      <w:r>
        <w:rPr>
          <w:lang w:eastAsia="zh-CN"/>
        </w:rPr>
        <w:t>1</w:t>
      </w:r>
      <w:r>
        <w:rPr>
          <w:rFonts w:hint="eastAsia" w:ascii="微软雅黑" w:hAnsi="微软雅黑" w:eastAsia="微软雅黑" w:cs="微软雅黑"/>
          <w:lang w:eastAsia="zh-CN"/>
        </w:rPr>
        <w:t>款，可以通过听取食品安全标准委员会的意见，制定用于销售或商业用途的器具、容器和包装（以下简称</w:t>
      </w:r>
      <w:r>
        <w:rPr>
          <w:lang w:eastAsia="zh-CN"/>
        </w:rPr>
        <w:t>“ACP”</w:t>
      </w:r>
      <w:r>
        <w:rPr>
          <w:rFonts w:hint="eastAsia" w:ascii="微软雅黑" w:hAnsi="微软雅黑" w:eastAsia="微软雅黑" w:cs="微软雅黑"/>
          <w:lang w:eastAsia="zh-CN"/>
        </w:rPr>
        <w:t>）或其原材料的规范，或制定其生产方法标准。规范和标准在食品、食品添加剂等规范和标准中规定（卫生福利部公告</w:t>
      </w:r>
      <w:r>
        <w:rPr>
          <w:lang w:eastAsia="zh-CN"/>
        </w:rPr>
        <w:t>No.370/1959</w:t>
      </w:r>
      <w:r>
        <w:rPr>
          <w:rFonts w:hint="eastAsia" w:ascii="微软雅黑" w:hAnsi="微软雅黑" w:eastAsia="微软雅黑" w:cs="微软雅黑"/>
          <w:lang w:eastAsia="zh-CN"/>
        </w:rPr>
        <w:t>；以下称为</w:t>
      </w:r>
      <w:r>
        <w:rPr>
          <w:lang w:eastAsia="zh-CN"/>
        </w:rPr>
        <w:t>“</w:t>
      </w:r>
      <w:r>
        <w:rPr>
          <w:rFonts w:hint="eastAsia" w:ascii="微软雅黑" w:hAnsi="微软雅黑" w:eastAsia="微软雅黑" w:cs="微软雅黑"/>
          <w:lang w:eastAsia="zh-CN"/>
        </w:rPr>
        <w:t>公告</w:t>
      </w:r>
      <w:r>
        <w:rPr>
          <w:lang w:eastAsia="zh-CN"/>
        </w:rPr>
        <w:t>”</w:t>
      </w:r>
      <w:r>
        <w:rPr>
          <w:rFonts w:hint="eastAsia" w:ascii="微软雅黑" w:hAnsi="微软雅黑" w:eastAsia="微软雅黑" w:cs="微软雅黑"/>
          <w:lang w:eastAsia="zh-CN"/>
        </w:rPr>
        <w:t>）。</w:t>
      </w:r>
    </w:p>
    <w:p w14:paraId="58170865">
      <w:pPr>
        <w:pStyle w:val="2"/>
        <w:spacing w:before="2"/>
        <w:rPr>
          <w:sz w:val="32"/>
          <w:lang w:eastAsia="zh-CN"/>
        </w:rPr>
      </w:pPr>
    </w:p>
    <w:p w14:paraId="391CE964">
      <w:pPr>
        <w:pStyle w:val="2"/>
        <w:spacing w:line="312" w:lineRule="auto"/>
        <w:ind w:left="104" w:right="106"/>
        <w:jc w:val="both"/>
        <w:rPr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t>消费者事务局将部分修订公告中的</w:t>
      </w:r>
      <w:r>
        <w:rPr>
          <w:lang w:eastAsia="zh-CN"/>
        </w:rPr>
        <w:t>“</w:t>
      </w:r>
      <w:r>
        <w:rPr>
          <w:rFonts w:hint="eastAsia" w:ascii="微软雅黑" w:hAnsi="微软雅黑" w:eastAsia="微软雅黑" w:cs="微软雅黑"/>
          <w:lang w:eastAsia="zh-CN"/>
        </w:rPr>
        <w:t>第</w:t>
      </w:r>
      <w:r>
        <w:rPr>
          <w:lang w:eastAsia="zh-CN"/>
        </w:rPr>
        <w:t>III</w:t>
      </w:r>
      <w:r>
        <w:rPr>
          <w:rFonts w:hint="eastAsia" w:ascii="微软雅黑" w:hAnsi="微软雅黑" w:eastAsia="微软雅黑" w:cs="微软雅黑"/>
          <w:lang w:eastAsia="zh-CN"/>
        </w:rPr>
        <w:t>章：仪器、容器和包装，</w:t>
      </w:r>
      <w:r>
        <w:rPr>
          <w:lang w:eastAsia="zh-CN"/>
        </w:rPr>
        <w:t>A.</w:t>
      </w:r>
      <w:r>
        <w:rPr>
          <w:rFonts w:hint="eastAsia" w:ascii="微软雅黑" w:hAnsi="微软雅黑" w:eastAsia="微软雅黑" w:cs="微软雅黑"/>
          <w:lang w:eastAsia="zh-CN"/>
        </w:rPr>
        <w:t>仪器、容器和包装的通用规范；或其原材料</w:t>
      </w:r>
      <w:r>
        <w:rPr>
          <w:lang w:eastAsia="zh-CN"/>
        </w:rPr>
        <w:t>”</w:t>
      </w:r>
      <w:r>
        <w:rPr>
          <w:rFonts w:hint="eastAsia" w:ascii="微软雅黑" w:hAnsi="微软雅黑" w:eastAsia="微软雅黑" w:cs="微软雅黑"/>
          <w:lang w:eastAsia="zh-CN"/>
        </w:rPr>
        <w:t>。</w:t>
      </w:r>
    </w:p>
    <w:p w14:paraId="64E6D8C8">
      <w:pPr>
        <w:pStyle w:val="2"/>
        <w:spacing w:before="11"/>
        <w:rPr>
          <w:sz w:val="28"/>
          <w:lang w:eastAsia="zh-CN"/>
        </w:rPr>
      </w:pPr>
      <w:r>
        <w:pict>
          <v:shape id="docshape2" o:spid="_x0000_s1026" o:spt="202" type="#_x0000_t202" style="position:absolute;left:0pt;margin-left:85.35pt;margin-top:18.1pt;height:14.3pt;width:86.4pt;mso-position-horizontal-relative:page;mso-wrap-distance-bottom:0pt;mso-wrap-distance-top:0pt;z-index:-251657216;mso-width-relative:page;mso-height-relative:page;" filled="f" coordsize="21600,21600">
            <v:path/>
            <v:fill on="f" focussize="0,0"/>
            <v:stroke weight="0.48pt" joinstyle="miter"/>
            <v:imagedata o:title=""/>
            <o:lock v:ext="edit"/>
            <v:textbox inset="0mm,0mm,0mm,0mm">
              <w:txbxContent>
                <w:p w14:paraId="102D989D">
                  <w:pPr>
                    <w:pStyle w:val="2"/>
                    <w:spacing w:line="274" w:lineRule="exact"/>
                    <w:ind w:left="-1" w:right="-15"/>
                  </w:pPr>
                  <w:r>
                    <w:rPr>
                      <w:rFonts w:hint="eastAsia" w:ascii="微软雅黑" w:hAnsi="微软雅黑" w:eastAsia="微软雅黑" w:cs="微软雅黑"/>
                    </w:rPr>
                    <w:t>修订详情</w:t>
                  </w:r>
                </w:p>
              </w:txbxContent>
            </v:textbox>
            <w10:wrap type="topAndBottom"/>
          </v:shape>
        </w:pict>
      </w:r>
    </w:p>
    <w:p w14:paraId="33B002B7">
      <w:pPr>
        <w:pStyle w:val="2"/>
        <w:rPr>
          <w:sz w:val="20"/>
          <w:lang w:eastAsia="zh-CN"/>
        </w:rPr>
      </w:pPr>
    </w:p>
    <w:p w14:paraId="380ED64E">
      <w:pPr>
        <w:pStyle w:val="9"/>
        <w:numPr>
          <w:ilvl w:val="0"/>
          <w:numId w:val="1"/>
        </w:numPr>
        <w:tabs>
          <w:tab w:val="left" w:pos="542"/>
        </w:tabs>
        <w:spacing w:before="207" w:line="312" w:lineRule="auto"/>
        <w:ind w:right="107"/>
        <w:jc w:val="both"/>
        <w:rPr>
          <w:sz w:val="24"/>
          <w:lang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eastAsia="zh-CN"/>
        </w:rPr>
        <w:t>建立允许使用目前未列入</w:t>
      </w:r>
      <w:r>
        <w:rPr>
          <w:sz w:val="24"/>
          <w:szCs w:val="24"/>
          <w:lang w:eastAsia="zh-CN"/>
        </w:rPr>
        <w:t>ACP</w:t>
      </w:r>
      <w:r>
        <w:rPr>
          <w:rFonts w:hint="eastAsia" w:ascii="微软雅黑" w:hAnsi="微软雅黑" w:eastAsia="微软雅黑" w:cs="微软雅黑"/>
          <w:sz w:val="24"/>
          <w:szCs w:val="24"/>
          <w:lang w:eastAsia="zh-CN"/>
        </w:rPr>
        <w:t>用合成树脂肯定列表的新物质的制度，接受单独申请并公开宣布每种物质已经过规定的安全审查程序（审查在听取食品安全委员会的意见后进行）。</w:t>
      </w:r>
    </w:p>
    <w:p w14:paraId="38D4D9D8">
      <w:pPr>
        <w:pStyle w:val="2"/>
        <w:spacing w:before="9"/>
        <w:rPr>
          <w:sz w:val="31"/>
          <w:lang w:eastAsia="zh-CN"/>
        </w:rPr>
      </w:pPr>
    </w:p>
    <w:p w14:paraId="36542BD0">
      <w:pPr>
        <w:pStyle w:val="9"/>
        <w:numPr>
          <w:ilvl w:val="0"/>
          <w:numId w:val="1"/>
        </w:numPr>
        <w:tabs>
          <w:tab w:val="left" w:pos="542"/>
        </w:tabs>
        <w:spacing w:line="314" w:lineRule="auto"/>
        <w:jc w:val="both"/>
        <w:rPr>
          <w:sz w:val="24"/>
          <w:lang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eastAsia="zh-CN"/>
        </w:rPr>
        <w:t>禁止使用《化学物质生产和评估管理法》（</w:t>
      </w:r>
      <w:r>
        <w:rPr>
          <w:sz w:val="24"/>
          <w:szCs w:val="24"/>
          <w:lang w:eastAsia="zh-CN"/>
        </w:rPr>
        <w:t>1973</w:t>
      </w:r>
      <w:r>
        <w:rPr>
          <w:rFonts w:hint="eastAsia" w:ascii="微软雅黑" w:hAnsi="微软雅黑" w:eastAsia="微软雅黑" w:cs="微软雅黑"/>
          <w:sz w:val="24"/>
          <w:szCs w:val="24"/>
          <w:lang w:eastAsia="zh-CN"/>
        </w:rPr>
        <w:t>年第</w:t>
      </w:r>
      <w:r>
        <w:rPr>
          <w:sz w:val="24"/>
          <w:szCs w:val="24"/>
          <w:lang w:eastAsia="zh-CN"/>
        </w:rPr>
        <w:t>117</w:t>
      </w:r>
      <w:r>
        <w:rPr>
          <w:rFonts w:hint="eastAsia" w:ascii="微软雅黑" w:hAnsi="微软雅黑" w:eastAsia="微软雅黑" w:cs="微软雅黑"/>
          <w:sz w:val="24"/>
          <w:szCs w:val="24"/>
          <w:lang w:eastAsia="zh-CN"/>
        </w:rPr>
        <w:t>号法案）第</w:t>
      </w:r>
      <w:r>
        <w:rPr>
          <w:sz w:val="24"/>
          <w:szCs w:val="24"/>
          <w:lang w:eastAsia="zh-CN"/>
        </w:rPr>
        <w:t>2</w:t>
      </w:r>
      <w:r>
        <w:rPr>
          <w:rFonts w:hint="eastAsia" w:ascii="微软雅黑" w:hAnsi="微软雅黑" w:eastAsia="微软雅黑" w:cs="微软雅黑"/>
          <w:sz w:val="24"/>
          <w:szCs w:val="24"/>
          <w:lang w:eastAsia="zh-CN"/>
        </w:rPr>
        <w:t>条第</w:t>
      </w:r>
      <w:r>
        <w:rPr>
          <w:sz w:val="24"/>
          <w:szCs w:val="24"/>
          <w:lang w:eastAsia="zh-CN"/>
        </w:rPr>
        <w:t>2</w:t>
      </w:r>
      <w:r>
        <w:rPr>
          <w:rFonts w:hint="eastAsia" w:ascii="微软雅黑" w:hAnsi="微软雅黑" w:eastAsia="微软雅黑" w:cs="微软雅黑"/>
          <w:sz w:val="24"/>
          <w:szCs w:val="24"/>
          <w:lang w:eastAsia="zh-CN"/>
        </w:rPr>
        <w:t>款规定的</w:t>
      </w:r>
      <w:r>
        <w:rPr>
          <w:sz w:val="24"/>
          <w:szCs w:val="24"/>
          <w:lang w:eastAsia="zh-CN"/>
        </w:rPr>
        <w:t>“I</w:t>
      </w:r>
      <w:r>
        <w:rPr>
          <w:rFonts w:hint="eastAsia" w:ascii="微软雅黑" w:hAnsi="微软雅黑" w:eastAsia="微软雅黑" w:cs="微软雅黑"/>
          <w:sz w:val="24"/>
          <w:szCs w:val="24"/>
          <w:lang w:eastAsia="zh-CN"/>
        </w:rPr>
        <w:t>类特定化学物质</w:t>
      </w:r>
      <w:r>
        <w:rPr>
          <w:sz w:val="24"/>
          <w:szCs w:val="24"/>
          <w:lang w:eastAsia="zh-CN"/>
        </w:rPr>
        <w:t>”</w:t>
      </w:r>
      <w:r>
        <w:rPr>
          <w:rFonts w:hint="eastAsia" w:ascii="微软雅黑" w:hAnsi="微软雅黑" w:eastAsia="微软雅黑" w:cs="微软雅黑"/>
          <w:sz w:val="24"/>
          <w:szCs w:val="24"/>
          <w:lang w:eastAsia="zh-CN"/>
        </w:rPr>
        <w:t>作为</w:t>
      </w:r>
      <w:r>
        <w:rPr>
          <w:sz w:val="24"/>
          <w:szCs w:val="24"/>
          <w:lang w:eastAsia="zh-CN"/>
        </w:rPr>
        <w:t>ACP</w:t>
      </w:r>
      <w:r>
        <w:rPr>
          <w:rFonts w:hint="eastAsia" w:ascii="微软雅黑" w:hAnsi="微软雅黑" w:eastAsia="微软雅黑" w:cs="微软雅黑"/>
          <w:sz w:val="24"/>
          <w:szCs w:val="24"/>
          <w:lang w:eastAsia="zh-CN"/>
        </w:rPr>
        <w:t>原料。</w:t>
      </w:r>
    </w:p>
    <w:p w14:paraId="096F4438">
      <w:pPr>
        <w:pStyle w:val="2"/>
        <w:spacing w:before="11"/>
        <w:rPr>
          <w:sz w:val="30"/>
          <w:lang w:eastAsia="zh-CN"/>
        </w:rPr>
      </w:pPr>
    </w:p>
    <w:p w14:paraId="04DDCFA5">
      <w:pPr>
        <w:pStyle w:val="2"/>
        <w:ind w:left="102"/>
        <w:rPr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t>该修订将于</w:t>
      </w:r>
      <w:r>
        <w:rPr>
          <w:lang w:eastAsia="zh-CN"/>
        </w:rPr>
        <w:t>2025</w:t>
      </w:r>
      <w:r>
        <w:rPr>
          <w:rFonts w:hint="eastAsia" w:ascii="微软雅黑" w:hAnsi="微软雅黑" w:eastAsia="微软雅黑" w:cs="微软雅黑"/>
          <w:lang w:eastAsia="zh-CN"/>
        </w:rPr>
        <w:t>年春季左右实施。</w:t>
      </w:r>
    </w:p>
    <w:sectPr>
      <w:type w:val="continuous"/>
      <w:pgSz w:w="11910" w:h="16840"/>
      <w:pgMar w:top="1580" w:right="1580" w:bottom="280" w:left="160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5E34C0D"/>
    <w:multiLevelType w:val="multilevel"/>
    <w:tmpl w:val="75E34C0D"/>
    <w:lvl w:ilvl="0" w:tentative="0">
      <w:start w:val="1"/>
      <w:numFmt w:val="upperLetter"/>
      <w:lvlText w:val="%1)"/>
      <w:lvlJc w:val="left"/>
      <w:pPr>
        <w:ind w:left="541" w:hanging="440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9"/>
        <w:w w:val="100"/>
        <w:sz w:val="24"/>
        <w:szCs w:val="24"/>
        <w:lang w:val="en-US" w:eastAsia="ja-JP" w:bidi="ar-SA"/>
      </w:rPr>
    </w:lvl>
    <w:lvl w:ilvl="1" w:tentative="0">
      <w:start w:val="0"/>
      <w:numFmt w:val="bullet"/>
      <w:lvlText w:val="•"/>
      <w:lvlJc w:val="left"/>
      <w:pPr>
        <w:ind w:left="1358" w:hanging="440"/>
      </w:pPr>
      <w:rPr>
        <w:rFonts w:hint="default"/>
        <w:lang w:val="en-US" w:eastAsia="ja-JP" w:bidi="ar-SA"/>
      </w:rPr>
    </w:lvl>
    <w:lvl w:ilvl="2" w:tentative="0">
      <w:start w:val="0"/>
      <w:numFmt w:val="bullet"/>
      <w:lvlText w:val="•"/>
      <w:lvlJc w:val="left"/>
      <w:pPr>
        <w:ind w:left="2177" w:hanging="440"/>
      </w:pPr>
      <w:rPr>
        <w:rFonts w:hint="default"/>
        <w:lang w:val="en-US" w:eastAsia="ja-JP" w:bidi="ar-SA"/>
      </w:rPr>
    </w:lvl>
    <w:lvl w:ilvl="3" w:tentative="0">
      <w:start w:val="0"/>
      <w:numFmt w:val="bullet"/>
      <w:lvlText w:val="•"/>
      <w:lvlJc w:val="left"/>
      <w:pPr>
        <w:ind w:left="2995" w:hanging="440"/>
      </w:pPr>
      <w:rPr>
        <w:rFonts w:hint="default"/>
        <w:lang w:val="en-US" w:eastAsia="ja-JP" w:bidi="ar-SA"/>
      </w:rPr>
    </w:lvl>
    <w:lvl w:ilvl="4" w:tentative="0">
      <w:start w:val="0"/>
      <w:numFmt w:val="bullet"/>
      <w:lvlText w:val="•"/>
      <w:lvlJc w:val="left"/>
      <w:pPr>
        <w:ind w:left="3814" w:hanging="440"/>
      </w:pPr>
      <w:rPr>
        <w:rFonts w:hint="default"/>
        <w:lang w:val="en-US" w:eastAsia="ja-JP" w:bidi="ar-SA"/>
      </w:rPr>
    </w:lvl>
    <w:lvl w:ilvl="5" w:tentative="0">
      <w:start w:val="0"/>
      <w:numFmt w:val="bullet"/>
      <w:lvlText w:val="•"/>
      <w:lvlJc w:val="left"/>
      <w:pPr>
        <w:ind w:left="4633" w:hanging="440"/>
      </w:pPr>
      <w:rPr>
        <w:rFonts w:hint="default"/>
        <w:lang w:val="en-US" w:eastAsia="ja-JP" w:bidi="ar-SA"/>
      </w:rPr>
    </w:lvl>
    <w:lvl w:ilvl="6" w:tentative="0">
      <w:start w:val="0"/>
      <w:numFmt w:val="bullet"/>
      <w:lvlText w:val="•"/>
      <w:lvlJc w:val="left"/>
      <w:pPr>
        <w:ind w:left="5451" w:hanging="440"/>
      </w:pPr>
      <w:rPr>
        <w:rFonts w:hint="default"/>
        <w:lang w:val="en-US" w:eastAsia="ja-JP" w:bidi="ar-SA"/>
      </w:rPr>
    </w:lvl>
    <w:lvl w:ilvl="7" w:tentative="0">
      <w:start w:val="0"/>
      <w:numFmt w:val="bullet"/>
      <w:lvlText w:val="•"/>
      <w:lvlJc w:val="left"/>
      <w:pPr>
        <w:ind w:left="6270" w:hanging="440"/>
      </w:pPr>
      <w:rPr>
        <w:rFonts w:hint="default"/>
        <w:lang w:val="en-US" w:eastAsia="ja-JP" w:bidi="ar-SA"/>
      </w:rPr>
    </w:lvl>
    <w:lvl w:ilvl="8" w:tentative="0">
      <w:start w:val="0"/>
      <w:numFmt w:val="bullet"/>
      <w:lvlText w:val="•"/>
      <w:lvlJc w:val="left"/>
      <w:pPr>
        <w:ind w:left="7089" w:hanging="440"/>
      </w:pPr>
      <w:rPr>
        <w:rFonts w:hint="default"/>
        <w:lang w:val="en-US" w:eastAsia="ja-JP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D25E85"/>
    <w:rsid w:val="00B36EB9"/>
    <w:rsid w:val="00D25E85"/>
    <w:rsid w:val="189015C1"/>
    <w:rsid w:val="35391B73"/>
    <w:rsid w:val="65175400"/>
    <w:rsid w:val="6CC36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Arial" w:hAnsi="Arial" w:eastAsia="Arial" w:cs="Arial"/>
      <w:sz w:val="22"/>
      <w:szCs w:val="22"/>
      <w:lang w:val="en-US" w:eastAsia="ja-JP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sz w:val="24"/>
      <w:szCs w:val="24"/>
    </w:rPr>
  </w:style>
  <w:style w:type="paragraph" w:styleId="3">
    <w:name w:val="footer"/>
    <w:basedOn w:val="1"/>
    <w:link w:val="12"/>
    <w:unhideWhenUsed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4">
    <w:name w:val="header"/>
    <w:basedOn w:val="1"/>
    <w:link w:val="11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Title"/>
    <w:basedOn w:val="1"/>
    <w:qFormat/>
    <w:uiPriority w:val="1"/>
    <w:pPr>
      <w:spacing w:before="92"/>
      <w:ind w:left="3474" w:hanging="2953"/>
    </w:pPr>
    <w:rPr>
      <w:b/>
      <w:bCs/>
      <w:sz w:val="28"/>
      <w:szCs w:val="28"/>
    </w:rPr>
  </w:style>
  <w:style w:type="table" w:customStyle="1" w:styleId="8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9">
    <w:name w:val="List Paragraph"/>
    <w:basedOn w:val="1"/>
    <w:qFormat/>
    <w:uiPriority w:val="1"/>
    <w:pPr>
      <w:spacing w:before="1"/>
      <w:ind w:left="541" w:right="106" w:hanging="440"/>
      <w:jc w:val="both"/>
    </w:pPr>
  </w:style>
  <w:style w:type="paragraph" w:customStyle="1" w:styleId="10">
    <w:name w:val="Table Paragraph"/>
    <w:basedOn w:val="1"/>
    <w:qFormat/>
    <w:uiPriority w:val="1"/>
  </w:style>
  <w:style w:type="character" w:customStyle="1" w:styleId="11">
    <w:name w:val="页眉 字符"/>
    <w:basedOn w:val="7"/>
    <w:link w:val="4"/>
    <w:uiPriority w:val="99"/>
    <w:rPr>
      <w:rFonts w:ascii="Arial" w:hAnsi="Arial" w:eastAsia="Arial" w:cs="Arial"/>
      <w:sz w:val="18"/>
      <w:szCs w:val="18"/>
      <w:lang w:eastAsia="ja-JP"/>
    </w:rPr>
  </w:style>
  <w:style w:type="character" w:customStyle="1" w:styleId="12">
    <w:name w:val="页脚 字符"/>
    <w:basedOn w:val="7"/>
    <w:link w:val="3"/>
    <w:uiPriority w:val="99"/>
    <w:rPr>
      <w:rFonts w:ascii="Arial" w:hAnsi="Arial" w:eastAsia="Arial" w:cs="Arial"/>
      <w:sz w:val="18"/>
      <w:szCs w:val="18"/>
      <w:lang w:eastAsia="ja-JP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7"/>
    <customShpInfo spid="_x0000_s1026"/>
  </customShpExts>
</s:customData>
</file>

<file path=customXml/item2.xml><?xml version="1.0" encoding="utf-8"?>
<rootClass>
  <codeData xmlns="urn:rootClass:codeData">70E46487EC3C5F9033D14B985283D571E57AD4260B1D6FA6EB6FEC3E307699EE2728225689CD7188DF74DE30156B9DF010332073E5286B9CF254FE75A82DAECE03011E62D4247899E97EC8DB4150B3EA2E005DAEA0D67BD276B758E615594FB3D68AC5260B1E61B4D579E6383B434444AA6FAC3ECC154986E738DD62C7DA3C53B587D426181E61A1F55CD8</codeData>
</rootClass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4F8E224-DC1A-440F-9967-FB8627986ED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372</Words>
  <Characters>410</Characters>
  <Lines>26</Lines>
  <Paragraphs>7</Paragraphs>
  <TotalTime>1</TotalTime>
  <ScaleCrop>false</ScaleCrop>
  <LinksUpToDate>false</LinksUpToDate>
  <CharactersWithSpaces>410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2025-01-16T02:00:00Z</dcterms:created>
  <dc:creator>厚生省本省</dc:creator>
  <cp:lastModifiedBy>欢喜葡萄</cp:lastModifiedBy>
  <cp:lastPrinted>2025-01-16T02:00:00Z</cp:lastPrinted>
  <dcterms:modified xsi:type="dcterms:W3CDTF">2025-02-10T08:27:47Z</dcterms:modified>
  <dc:title>乳及び乳製品の規格基準の改正に係る諮問について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2025-01-14T00:00:00Z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2025-01-16T00:00:00Z</vt:filetime>
  </property>
  <property fmtid="{D5CDD505-2E9C-101B-9397-08002B2CF9AE}" pid="5" name="KSOTemplateDocerSaveRecord">
    <vt:lpwstr>eyJoZGlkIjoiN2ZlMWVkNmE0ODNiM2U0OWY5MTNiMWY0OTk5NGU3NGUiLCJ1c2VySWQiOiIxMzg2NzY4MTY1In0=</vt:lpwstr>
  </property>
  <property fmtid="{D5CDD505-2E9C-101B-9397-08002B2CF9AE}" pid="6" name="KSOProductBuildVer">
    <vt:lpwstr>2052-12.1.0.19770</vt:lpwstr>
  </property>
  <property fmtid="{D5CDD505-2E9C-101B-9397-08002B2CF9AE}" pid="7" name="ICV">
    <vt:lpwstr>CE0D915E5AA946DD88103AE06FB94613_13</vt:lpwstr>
  </property>
</Properties>
</file>