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CCD84">
      <w:pPr>
        <w:pStyle w:val="2"/>
        <w:spacing w:before="0"/>
        <w:rPr>
          <w:sz w:val="20"/>
        </w:rPr>
      </w:pPr>
    </w:p>
    <w:p w14:paraId="71F27925">
      <w:pPr>
        <w:pStyle w:val="2"/>
        <w:spacing w:before="0"/>
        <w:rPr>
          <w:sz w:val="20"/>
        </w:rPr>
      </w:pPr>
    </w:p>
    <w:p w14:paraId="299B73B3">
      <w:pPr>
        <w:pStyle w:val="2"/>
        <w:spacing w:before="5"/>
        <w:rPr>
          <w:sz w:val="16"/>
        </w:rPr>
      </w:pPr>
    </w:p>
    <w:p w14:paraId="674E2F48">
      <w:pPr>
        <w:spacing w:before="93"/>
        <w:ind w:left="2787" w:right="3780"/>
        <w:rPr>
          <w:rFonts w:ascii="Arial"/>
          <w:sz w:val="23"/>
          <w:lang w:val="en-US" w:eastAsia="zh-CN"/>
        </w:rPr>
      </w:pPr>
      <w:r>
        <w:rPr>
          <w:lang w:val="en-US" w:eastAsia="zh-CN"/>
        </w:rPr>
        <w:drawing>
          <wp:anchor distT="0" distB="0" distL="0" distR="0" simplePos="0" relativeHeight="251659264" behindDoc="0" locked="0" layoutInCell="1" allowOverlap="1">
            <wp:simplePos x="0" y="0"/>
            <wp:positionH relativeFrom="page">
              <wp:posOffset>908685</wp:posOffset>
            </wp:positionH>
            <wp:positionV relativeFrom="paragraph">
              <wp:posOffset>-410210</wp:posOffset>
            </wp:positionV>
            <wp:extent cx="1588770" cy="779145"/>
            <wp:effectExtent l="0" t="0" r="0" b="0"/>
            <wp:wrapNone/>
            <wp:docPr id="1" name="image1.jpeg" descr="4077A698-1828-44E4-A6F9-25CA60814B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4077A698-1828-44E4-A6F9-25CA60814BCD"/>
                    <pic:cNvPicPr>
                      <a:picLocks noChangeAspect="1"/>
                    </pic:cNvPicPr>
                  </pic:nvPicPr>
                  <pic:blipFill>
                    <a:blip r:embed="rId6" cstate="print"/>
                    <a:stretch>
                      <a:fillRect/>
                    </a:stretch>
                  </pic:blipFill>
                  <pic:spPr>
                    <a:xfrm>
                      <a:off x="0" y="0"/>
                      <a:ext cx="1588863" cy="778971"/>
                    </a:xfrm>
                    <a:prstGeom prst="rect">
                      <a:avLst/>
                    </a:prstGeom>
                  </pic:spPr>
                </pic:pic>
              </a:graphicData>
            </a:graphic>
          </wp:anchor>
        </w:drawing>
      </w:r>
      <w:r>
        <w:rPr>
          <w:rFonts w:hint="eastAsia" w:ascii="宋体" w:hAnsi="宋体" w:eastAsia="宋体" w:cs="宋体"/>
          <w:sz w:val="23"/>
          <w:szCs w:val="23"/>
          <w:lang w:val="en-US" w:eastAsia="zh-CN"/>
        </w:rPr>
        <w:t>欧盟委员会</w:t>
      </w:r>
    </w:p>
    <w:p w14:paraId="64C5C424">
      <w:pPr>
        <w:pStyle w:val="2"/>
        <w:spacing w:before="0"/>
        <w:rPr>
          <w:rFonts w:ascii="Arial"/>
          <w:sz w:val="20"/>
          <w:lang w:val="en-US" w:eastAsia="zh-CN"/>
        </w:rPr>
      </w:pPr>
    </w:p>
    <w:p w14:paraId="57FCA1B4">
      <w:pPr>
        <w:pStyle w:val="2"/>
        <w:spacing w:before="0"/>
        <w:rPr>
          <w:rFonts w:ascii="Arial"/>
          <w:sz w:val="20"/>
          <w:lang w:val="en-US" w:eastAsia="zh-CN"/>
        </w:rPr>
      </w:pPr>
    </w:p>
    <w:p w14:paraId="1A6CFD72">
      <w:pPr>
        <w:pStyle w:val="2"/>
        <w:spacing w:before="0"/>
        <w:rPr>
          <w:rFonts w:ascii="Arial"/>
          <w:sz w:val="20"/>
          <w:lang w:val="en-US" w:eastAsia="zh-CN"/>
        </w:rPr>
      </w:pPr>
    </w:p>
    <w:p w14:paraId="6F53174C">
      <w:pPr>
        <w:pStyle w:val="2"/>
        <w:spacing w:before="11"/>
        <w:rPr>
          <w:rFonts w:ascii="Arial"/>
          <w:sz w:val="21"/>
          <w:lang w:val="en-US" w:eastAsia="zh-CN"/>
        </w:rPr>
      </w:pPr>
    </w:p>
    <w:p w14:paraId="080E91AA">
      <w:pPr>
        <w:pStyle w:val="2"/>
        <w:spacing w:before="89"/>
        <w:ind w:left="5228" w:right="928"/>
        <w:rPr>
          <w:lang w:val="en-US" w:eastAsia="zh-CN"/>
        </w:rPr>
      </w:pPr>
      <w:r>
        <w:rPr>
          <w:rFonts w:hint="eastAsia" w:ascii="宋体" w:hAnsi="宋体" w:eastAsia="宋体" w:cs="宋体"/>
          <w:lang w:val="en-US" w:eastAsia="zh-CN"/>
        </w:rPr>
        <w:t>布鲁塞尔，</w:t>
      </w:r>
      <w:r>
        <w:rPr>
          <w:lang w:val="en-US" w:eastAsia="zh-CN"/>
        </w:rPr>
        <w:t>XXX PLAN/2024/2430 Rev.1</w:t>
      </w:r>
    </w:p>
    <w:p w14:paraId="37754798">
      <w:pPr>
        <w:pStyle w:val="2"/>
        <w:spacing w:before="0" w:line="274" w:lineRule="exact"/>
        <w:ind w:left="5228"/>
        <w:rPr>
          <w:lang w:val="en-US" w:eastAsia="zh-CN"/>
        </w:rPr>
      </w:pPr>
      <w:r>
        <w:rPr>
          <w:lang w:val="en-US" w:eastAsia="zh-CN"/>
        </w:rPr>
        <w:t>[…]</w:t>
      </w:r>
      <w:r>
        <w:rPr>
          <w:rFonts w:hint="eastAsia" w:ascii="宋体" w:hAnsi="宋体" w:eastAsia="宋体" w:cs="宋体"/>
          <w:lang w:val="en-US" w:eastAsia="zh-CN"/>
        </w:rPr>
        <w:t>（</w:t>
      </w:r>
      <w:r>
        <w:rPr>
          <w:lang w:val="en-US" w:eastAsia="zh-CN"/>
        </w:rPr>
        <w:t>2024</w:t>
      </w:r>
      <w:r>
        <w:rPr>
          <w:rFonts w:hint="eastAsia" w:ascii="宋体" w:hAnsi="宋体" w:eastAsia="宋体" w:cs="宋体"/>
          <w:lang w:val="en-US" w:eastAsia="zh-CN"/>
        </w:rPr>
        <w:t>）</w:t>
      </w:r>
      <w:r>
        <w:rPr>
          <w:lang w:val="en-US" w:eastAsia="zh-CN"/>
        </w:rPr>
        <w:t>XXX</w:t>
      </w:r>
      <w:r>
        <w:rPr>
          <w:rFonts w:hint="eastAsia" w:ascii="宋体" w:hAnsi="宋体" w:eastAsia="宋体" w:cs="宋体"/>
          <w:lang w:val="en-US" w:eastAsia="zh-CN"/>
        </w:rPr>
        <w:t>草案</w:t>
      </w:r>
    </w:p>
    <w:p w14:paraId="4D67B4CE">
      <w:pPr>
        <w:pStyle w:val="2"/>
        <w:spacing w:before="0"/>
        <w:rPr>
          <w:sz w:val="26"/>
          <w:lang w:val="en-US" w:eastAsia="zh-CN"/>
        </w:rPr>
      </w:pPr>
    </w:p>
    <w:p w14:paraId="12B617E2">
      <w:pPr>
        <w:pStyle w:val="2"/>
        <w:spacing w:before="0"/>
        <w:rPr>
          <w:sz w:val="26"/>
          <w:lang w:val="en-US" w:eastAsia="zh-CN"/>
        </w:rPr>
      </w:pPr>
    </w:p>
    <w:p w14:paraId="51D9867A">
      <w:pPr>
        <w:pStyle w:val="2"/>
        <w:spacing w:before="0"/>
        <w:rPr>
          <w:sz w:val="26"/>
          <w:lang w:val="en-US" w:eastAsia="zh-CN"/>
        </w:rPr>
      </w:pPr>
    </w:p>
    <w:p w14:paraId="0276E1F5">
      <w:pPr>
        <w:pStyle w:val="2"/>
        <w:spacing w:before="0"/>
        <w:rPr>
          <w:sz w:val="26"/>
          <w:lang w:val="en-US" w:eastAsia="zh-CN"/>
        </w:rPr>
      </w:pPr>
    </w:p>
    <w:p w14:paraId="2C5D5A29">
      <w:pPr>
        <w:pStyle w:val="2"/>
        <w:spacing w:before="5"/>
        <w:rPr>
          <w:sz w:val="21"/>
          <w:lang w:val="en-US" w:eastAsia="zh-CN"/>
        </w:rPr>
      </w:pPr>
    </w:p>
    <w:p w14:paraId="26840988">
      <w:pPr>
        <w:ind w:left="113" w:right="99"/>
        <w:jc w:val="center"/>
        <w:rPr>
          <w:b/>
          <w:sz w:val="24"/>
          <w:lang w:val="en-US" w:eastAsia="zh-CN"/>
        </w:rPr>
      </w:pPr>
      <w:r>
        <w:rPr>
          <w:rFonts w:hint="eastAsia" w:ascii="宋体" w:hAnsi="宋体" w:eastAsia="宋体" w:cs="宋体"/>
          <w:b/>
          <w:sz w:val="24"/>
          <w:szCs w:val="24"/>
          <w:lang w:val="en-US" w:eastAsia="zh-CN"/>
        </w:rPr>
        <w:t>欧盟委员会实施条例（欧盟）</w:t>
      </w:r>
      <w:r>
        <w:rPr>
          <w:b/>
          <w:sz w:val="24"/>
          <w:szCs w:val="24"/>
          <w:lang w:val="en-US" w:eastAsia="zh-CN"/>
        </w:rPr>
        <w:t>…/...</w:t>
      </w:r>
    </w:p>
    <w:p w14:paraId="62FB6D9A">
      <w:pPr>
        <w:pStyle w:val="2"/>
        <w:spacing w:before="1"/>
        <w:rPr>
          <w:b/>
          <w:sz w:val="31"/>
          <w:lang w:val="en-US" w:eastAsia="zh-CN"/>
        </w:rPr>
      </w:pPr>
    </w:p>
    <w:p w14:paraId="56C2AF73">
      <w:pPr>
        <w:ind w:left="113" w:right="100"/>
        <w:jc w:val="center"/>
        <w:rPr>
          <w:b/>
          <w:sz w:val="24"/>
          <w:lang w:val="en-US" w:eastAsia="zh-CN"/>
        </w:rPr>
      </w:pPr>
      <w:r>
        <w:rPr>
          <w:b/>
          <w:color w:val="FF0000"/>
          <w:sz w:val="24"/>
          <w:szCs w:val="24"/>
          <w:lang w:val="en-US" w:eastAsia="zh-CN"/>
        </w:rPr>
        <w:t>XXX</w:t>
      </w:r>
      <w:r>
        <w:rPr>
          <w:rFonts w:hint="eastAsia" w:ascii="宋体" w:hAnsi="宋体" w:eastAsia="宋体" w:cs="宋体"/>
          <w:b/>
          <w:color w:val="FF0000"/>
          <w:sz w:val="24"/>
          <w:szCs w:val="24"/>
          <w:lang w:val="en-US" w:eastAsia="zh-CN"/>
        </w:rPr>
        <w:t>的</w:t>
      </w:r>
    </w:p>
    <w:p w14:paraId="42FEF135">
      <w:pPr>
        <w:pStyle w:val="2"/>
        <w:spacing w:before="2"/>
        <w:rPr>
          <w:b/>
          <w:sz w:val="31"/>
          <w:lang w:val="en-US" w:eastAsia="zh-CN"/>
        </w:rPr>
      </w:pPr>
    </w:p>
    <w:p w14:paraId="1257DAF1">
      <w:pPr>
        <w:ind w:left="239" w:right="226" w:hanging="1"/>
        <w:jc w:val="center"/>
        <w:rPr>
          <w:b/>
          <w:sz w:val="24"/>
          <w:lang w:val="en-US" w:eastAsia="zh-CN"/>
        </w:rPr>
      </w:pPr>
      <w:r>
        <w:rPr>
          <w:rFonts w:hint="eastAsia" w:ascii="宋体" w:hAnsi="宋体" w:eastAsia="宋体" w:cs="宋体"/>
          <w:b/>
          <w:sz w:val="24"/>
          <w:szCs w:val="24"/>
          <w:lang w:val="en-US" w:eastAsia="zh-CN"/>
        </w:rPr>
        <w:t>根据欧洲议会和欧盟理事会（</w:t>
      </w:r>
      <w:r>
        <w:rPr>
          <w:b/>
          <w:sz w:val="24"/>
          <w:szCs w:val="24"/>
          <w:lang w:val="en-US" w:eastAsia="zh-CN"/>
        </w:rPr>
        <w:t>EC</w:t>
      </w:r>
      <w:r>
        <w:rPr>
          <w:rFonts w:hint="eastAsia" w:ascii="宋体" w:hAnsi="宋体" w:eastAsia="宋体" w:cs="宋体"/>
          <w:b/>
          <w:sz w:val="24"/>
          <w:szCs w:val="24"/>
          <w:lang w:val="en-US" w:eastAsia="zh-CN"/>
        </w:rPr>
        <w:t>）第</w:t>
      </w:r>
      <w:r>
        <w:rPr>
          <w:b/>
          <w:sz w:val="24"/>
          <w:szCs w:val="24"/>
          <w:lang w:val="en-US" w:eastAsia="zh-CN"/>
        </w:rPr>
        <w:t>1107/2009</w:t>
      </w:r>
      <w:r>
        <w:rPr>
          <w:rFonts w:hint="eastAsia" w:ascii="宋体" w:hAnsi="宋体" w:eastAsia="宋体" w:cs="宋体"/>
          <w:b/>
          <w:sz w:val="24"/>
          <w:szCs w:val="24"/>
          <w:lang w:val="en-US" w:eastAsia="zh-CN"/>
        </w:rPr>
        <w:t>号法规，以及修订欧盟委员会（</w:t>
      </w:r>
      <w:r>
        <w:rPr>
          <w:b/>
          <w:sz w:val="24"/>
          <w:szCs w:val="24"/>
          <w:lang w:val="en-US" w:eastAsia="zh-CN"/>
        </w:rPr>
        <w:t>EU</w:t>
      </w:r>
      <w:r>
        <w:rPr>
          <w:rFonts w:hint="eastAsia" w:ascii="宋体" w:hAnsi="宋体" w:eastAsia="宋体" w:cs="宋体"/>
          <w:b/>
          <w:sz w:val="24"/>
          <w:szCs w:val="24"/>
          <w:lang w:val="en-US" w:eastAsia="zh-CN"/>
        </w:rPr>
        <w:t>）第</w:t>
      </w:r>
      <w:r>
        <w:rPr>
          <w:b/>
          <w:sz w:val="24"/>
          <w:szCs w:val="24"/>
          <w:lang w:val="en-US" w:eastAsia="zh-CN"/>
        </w:rPr>
        <w:t>540/2011</w:t>
      </w:r>
      <w:r>
        <w:rPr>
          <w:rFonts w:hint="eastAsia" w:ascii="宋体" w:hAnsi="宋体" w:eastAsia="宋体" w:cs="宋体"/>
          <w:b/>
          <w:sz w:val="24"/>
          <w:szCs w:val="24"/>
          <w:lang w:val="en-US" w:eastAsia="zh-CN"/>
        </w:rPr>
        <w:t>号实施法规和欧盟委员会（</w:t>
      </w:r>
      <w:r>
        <w:rPr>
          <w:b/>
          <w:sz w:val="24"/>
          <w:szCs w:val="24"/>
          <w:lang w:val="en-US" w:eastAsia="zh-CN"/>
        </w:rPr>
        <w:t>EU</w:t>
      </w:r>
      <w:r>
        <w:rPr>
          <w:rFonts w:hint="eastAsia" w:ascii="宋体" w:hAnsi="宋体" w:eastAsia="宋体" w:cs="宋体"/>
          <w:b/>
          <w:sz w:val="24"/>
          <w:szCs w:val="24"/>
          <w:lang w:val="en-US" w:eastAsia="zh-CN"/>
        </w:rPr>
        <w:t>）第</w:t>
      </w:r>
      <w:r>
        <w:rPr>
          <w:b/>
          <w:sz w:val="24"/>
          <w:szCs w:val="24"/>
          <w:lang w:val="en-US" w:eastAsia="zh-CN"/>
        </w:rPr>
        <w:t>2015/408</w:t>
      </w:r>
      <w:r>
        <w:rPr>
          <w:rFonts w:hint="eastAsia" w:ascii="宋体" w:hAnsi="宋体" w:eastAsia="宋体" w:cs="宋体"/>
          <w:b/>
          <w:sz w:val="24"/>
          <w:szCs w:val="24"/>
          <w:lang w:val="en-US" w:eastAsia="zh-CN"/>
        </w:rPr>
        <w:t>号实施法规，关于不再批准活性物质氟噻草胺</w:t>
      </w:r>
    </w:p>
    <w:p w14:paraId="3BB0E66D">
      <w:pPr>
        <w:pStyle w:val="2"/>
        <w:spacing w:before="0"/>
        <w:rPr>
          <w:b/>
          <w:sz w:val="26"/>
          <w:lang w:val="en-US" w:eastAsia="zh-CN"/>
        </w:rPr>
      </w:pPr>
    </w:p>
    <w:p w14:paraId="6FDBFC30">
      <w:pPr>
        <w:pStyle w:val="2"/>
        <w:spacing w:before="1"/>
        <w:rPr>
          <w:b/>
          <w:sz w:val="36"/>
          <w:lang w:val="en-US" w:eastAsia="zh-CN"/>
        </w:rPr>
      </w:pPr>
    </w:p>
    <w:p w14:paraId="44706AC2">
      <w:pPr>
        <w:pStyle w:val="2"/>
        <w:spacing w:before="0"/>
        <w:ind w:left="113" w:right="101"/>
        <w:jc w:val="center"/>
        <w:rPr>
          <w:lang w:val="en-US" w:eastAsia="zh-CN"/>
        </w:rPr>
      </w:pPr>
      <w:r>
        <w:rPr>
          <w:rFonts w:hint="eastAsia" w:ascii="宋体" w:hAnsi="宋体" w:eastAsia="宋体" w:cs="宋体"/>
          <w:lang w:val="en-US" w:eastAsia="zh-CN"/>
        </w:rPr>
        <w:t>（与欧洲经济区相关的文本）</w:t>
      </w:r>
    </w:p>
    <w:p w14:paraId="0B21A4D2">
      <w:pPr>
        <w:jc w:val="center"/>
        <w:rPr>
          <w:lang w:val="en-US" w:eastAsia="zh-CN"/>
        </w:rPr>
        <w:sectPr>
          <w:footerReference r:id="rId3" w:type="default"/>
          <w:type w:val="continuous"/>
          <w:pgSz w:w="11910" w:h="16840"/>
          <w:pgMar w:top="1460" w:right="1300" w:bottom="1240" w:left="1300" w:header="0" w:footer="1041" w:gutter="0"/>
          <w:pgNumType w:start="1"/>
          <w:cols w:space="720" w:num="1"/>
        </w:sectPr>
      </w:pPr>
    </w:p>
    <w:p w14:paraId="3EC1AB15">
      <w:pPr>
        <w:spacing w:before="74"/>
        <w:ind w:left="113" w:right="118"/>
        <w:jc w:val="center"/>
        <w:rPr>
          <w:b/>
          <w:sz w:val="24"/>
          <w:lang w:val="en-US" w:eastAsia="zh-CN"/>
        </w:rPr>
      </w:pPr>
      <w:r>
        <w:rPr>
          <w:rFonts w:hint="eastAsia" w:ascii="宋体" w:hAnsi="宋体" w:eastAsia="宋体" w:cs="宋体"/>
          <w:b/>
          <w:sz w:val="24"/>
          <w:szCs w:val="24"/>
          <w:lang w:val="en-US" w:eastAsia="zh-CN"/>
        </w:rPr>
        <w:t>欧盟委员会实施条例（欧盟）</w:t>
      </w:r>
      <w:r>
        <w:rPr>
          <w:b/>
          <w:sz w:val="24"/>
          <w:szCs w:val="24"/>
          <w:lang w:val="en-US" w:eastAsia="zh-CN"/>
        </w:rPr>
        <w:t>…/...</w:t>
      </w:r>
    </w:p>
    <w:p w14:paraId="262D179B">
      <w:pPr>
        <w:pStyle w:val="2"/>
        <w:spacing w:before="3"/>
        <w:rPr>
          <w:b/>
          <w:sz w:val="31"/>
          <w:lang w:val="en-US" w:eastAsia="zh-CN"/>
        </w:rPr>
      </w:pPr>
    </w:p>
    <w:p w14:paraId="57D743B8">
      <w:pPr>
        <w:ind w:left="113" w:right="115"/>
        <w:jc w:val="center"/>
        <w:rPr>
          <w:b/>
          <w:sz w:val="24"/>
          <w:lang w:val="en-US" w:eastAsia="zh-CN"/>
        </w:rPr>
      </w:pPr>
      <w:r>
        <w:rPr>
          <w:b/>
          <w:color w:val="FF0000"/>
          <w:sz w:val="24"/>
          <w:szCs w:val="24"/>
          <w:lang w:val="en-US" w:eastAsia="zh-CN"/>
        </w:rPr>
        <w:t>XXX</w:t>
      </w:r>
      <w:r>
        <w:rPr>
          <w:rFonts w:hint="eastAsia" w:ascii="宋体" w:hAnsi="宋体" w:eastAsia="宋体" w:cs="宋体"/>
          <w:b/>
          <w:color w:val="FF0000"/>
          <w:sz w:val="24"/>
          <w:szCs w:val="24"/>
          <w:lang w:val="en-US" w:eastAsia="zh-CN"/>
        </w:rPr>
        <w:t>的</w:t>
      </w:r>
    </w:p>
    <w:p w14:paraId="60164125">
      <w:pPr>
        <w:pStyle w:val="2"/>
        <w:spacing w:before="4"/>
        <w:rPr>
          <w:b/>
          <w:sz w:val="31"/>
          <w:lang w:val="en-US" w:eastAsia="zh-CN"/>
        </w:rPr>
      </w:pPr>
    </w:p>
    <w:p w14:paraId="45C3D26E">
      <w:pPr>
        <w:ind w:left="224" w:right="227" w:hanging="2"/>
        <w:jc w:val="center"/>
        <w:rPr>
          <w:b/>
          <w:sz w:val="24"/>
          <w:lang w:val="en-US" w:eastAsia="zh-CN"/>
        </w:rPr>
      </w:pPr>
      <w:r>
        <w:rPr>
          <w:rFonts w:hint="eastAsia" w:ascii="宋体" w:hAnsi="宋体" w:eastAsia="宋体" w:cs="宋体"/>
          <w:b/>
          <w:sz w:val="24"/>
          <w:szCs w:val="24"/>
          <w:lang w:val="en-US" w:eastAsia="zh-CN"/>
        </w:rPr>
        <w:t>根据欧洲议会和欧盟理事会（</w:t>
      </w:r>
      <w:r>
        <w:rPr>
          <w:b/>
          <w:sz w:val="24"/>
          <w:szCs w:val="24"/>
          <w:lang w:val="en-US" w:eastAsia="zh-CN"/>
        </w:rPr>
        <w:t>EC</w:t>
      </w:r>
      <w:r>
        <w:rPr>
          <w:rFonts w:hint="eastAsia" w:ascii="宋体" w:hAnsi="宋体" w:eastAsia="宋体" w:cs="宋体"/>
          <w:b/>
          <w:sz w:val="24"/>
          <w:szCs w:val="24"/>
          <w:lang w:val="en-US" w:eastAsia="zh-CN"/>
        </w:rPr>
        <w:t>）第</w:t>
      </w:r>
      <w:r>
        <w:rPr>
          <w:b/>
          <w:sz w:val="24"/>
          <w:szCs w:val="24"/>
          <w:lang w:val="en-US" w:eastAsia="zh-CN"/>
        </w:rPr>
        <w:t>1107/2009</w:t>
      </w:r>
      <w:r>
        <w:rPr>
          <w:rFonts w:hint="eastAsia" w:ascii="宋体" w:hAnsi="宋体" w:eastAsia="宋体" w:cs="宋体"/>
          <w:b/>
          <w:sz w:val="24"/>
          <w:szCs w:val="24"/>
          <w:lang w:val="en-US" w:eastAsia="zh-CN"/>
        </w:rPr>
        <w:t>号法规，以及修订欧盟委员会（</w:t>
      </w:r>
      <w:r>
        <w:rPr>
          <w:b/>
          <w:sz w:val="24"/>
          <w:szCs w:val="24"/>
          <w:lang w:val="en-US" w:eastAsia="zh-CN"/>
        </w:rPr>
        <w:t>EU</w:t>
      </w:r>
      <w:r>
        <w:rPr>
          <w:rFonts w:hint="eastAsia" w:ascii="宋体" w:hAnsi="宋体" w:eastAsia="宋体" w:cs="宋体"/>
          <w:b/>
          <w:sz w:val="24"/>
          <w:szCs w:val="24"/>
          <w:lang w:val="en-US" w:eastAsia="zh-CN"/>
        </w:rPr>
        <w:t>）第</w:t>
      </w:r>
      <w:r>
        <w:rPr>
          <w:b/>
          <w:sz w:val="24"/>
          <w:szCs w:val="24"/>
          <w:lang w:val="en-US" w:eastAsia="zh-CN"/>
        </w:rPr>
        <w:t>540/2011</w:t>
      </w:r>
      <w:r>
        <w:rPr>
          <w:rFonts w:hint="eastAsia" w:ascii="宋体" w:hAnsi="宋体" w:eastAsia="宋体" w:cs="宋体"/>
          <w:b/>
          <w:sz w:val="24"/>
          <w:szCs w:val="24"/>
          <w:lang w:val="en-US" w:eastAsia="zh-CN"/>
        </w:rPr>
        <w:t>号实施法规和欧盟委员会（</w:t>
      </w:r>
      <w:r>
        <w:rPr>
          <w:b/>
          <w:sz w:val="24"/>
          <w:szCs w:val="24"/>
          <w:lang w:val="en-US" w:eastAsia="zh-CN"/>
        </w:rPr>
        <w:t>EU</w:t>
      </w:r>
      <w:r>
        <w:rPr>
          <w:rFonts w:hint="eastAsia" w:ascii="宋体" w:hAnsi="宋体" w:eastAsia="宋体" w:cs="宋体"/>
          <w:b/>
          <w:sz w:val="24"/>
          <w:szCs w:val="24"/>
          <w:lang w:val="en-US" w:eastAsia="zh-CN"/>
        </w:rPr>
        <w:t>）第</w:t>
      </w:r>
      <w:r>
        <w:rPr>
          <w:b/>
          <w:sz w:val="24"/>
          <w:szCs w:val="24"/>
          <w:lang w:val="en-US" w:eastAsia="zh-CN"/>
        </w:rPr>
        <w:t>2015/408</w:t>
      </w:r>
      <w:r>
        <w:rPr>
          <w:rFonts w:hint="eastAsia" w:ascii="宋体" w:hAnsi="宋体" w:eastAsia="宋体" w:cs="宋体"/>
          <w:b/>
          <w:sz w:val="24"/>
          <w:szCs w:val="24"/>
          <w:lang w:val="en-US" w:eastAsia="zh-CN"/>
        </w:rPr>
        <w:t>号实施法规，关于不继续批准活性物质氟噻草胺</w:t>
      </w:r>
    </w:p>
    <w:p w14:paraId="40BCE4AD">
      <w:pPr>
        <w:pStyle w:val="2"/>
        <w:spacing w:before="3"/>
        <w:rPr>
          <w:b/>
          <w:sz w:val="31"/>
          <w:lang w:val="en-US" w:eastAsia="zh-CN"/>
        </w:rPr>
      </w:pPr>
    </w:p>
    <w:p w14:paraId="0AA3009B">
      <w:pPr>
        <w:pStyle w:val="2"/>
        <w:spacing w:before="0"/>
        <w:ind w:left="113" w:right="114"/>
        <w:jc w:val="center"/>
        <w:rPr>
          <w:lang w:val="en-US" w:eastAsia="zh-CN"/>
        </w:rPr>
      </w:pPr>
      <w:r>
        <w:rPr>
          <w:rFonts w:hint="eastAsia" w:ascii="宋体" w:hAnsi="宋体" w:eastAsia="宋体" w:cs="宋体"/>
          <w:lang w:val="en-US" w:eastAsia="zh-CN"/>
        </w:rPr>
        <w:t>（与欧洲经济区相关的文本）</w:t>
      </w:r>
    </w:p>
    <w:p w14:paraId="7503D2F5">
      <w:pPr>
        <w:pStyle w:val="2"/>
        <w:spacing w:before="0"/>
        <w:rPr>
          <w:sz w:val="26"/>
          <w:lang w:val="en-US" w:eastAsia="zh-CN"/>
        </w:rPr>
      </w:pPr>
    </w:p>
    <w:p w14:paraId="71BAEACE">
      <w:pPr>
        <w:pStyle w:val="2"/>
        <w:spacing w:before="3"/>
        <w:rPr>
          <w:sz w:val="26"/>
          <w:lang w:val="en-US" w:eastAsia="zh-CN"/>
        </w:rPr>
      </w:pPr>
    </w:p>
    <w:p w14:paraId="702454E9">
      <w:pPr>
        <w:pStyle w:val="2"/>
        <w:spacing w:before="0"/>
        <w:ind w:left="116"/>
        <w:jc w:val="both"/>
        <w:rPr>
          <w:lang w:val="en-US" w:eastAsia="zh-CN"/>
        </w:rPr>
      </w:pPr>
      <w:r>
        <w:rPr>
          <w:rFonts w:hint="eastAsia" w:ascii="宋体" w:hAnsi="宋体" w:eastAsia="宋体" w:cs="宋体"/>
          <w:lang w:val="en-US" w:eastAsia="zh-CN"/>
        </w:rPr>
        <w:t>欧盟委员会，</w:t>
      </w:r>
    </w:p>
    <w:p w14:paraId="5E9616A0">
      <w:pPr>
        <w:pStyle w:val="2"/>
        <w:ind w:left="116"/>
        <w:jc w:val="both"/>
        <w:rPr>
          <w:lang w:val="en-US" w:eastAsia="zh-CN"/>
        </w:rPr>
      </w:pPr>
      <w:r>
        <w:rPr>
          <w:rFonts w:hint="eastAsia" w:ascii="宋体" w:hAnsi="宋体" w:eastAsia="宋体" w:cs="宋体"/>
          <w:lang w:val="en-US" w:eastAsia="zh-CN"/>
        </w:rPr>
        <w:t>考虑到《欧盟运作条约》，</w:t>
      </w:r>
    </w:p>
    <w:p w14:paraId="21C10185">
      <w:pPr>
        <w:pStyle w:val="2"/>
        <w:ind w:left="116" w:right="112"/>
        <w:jc w:val="both"/>
        <w:rPr>
          <w:lang w:val="en-US" w:eastAsia="zh-CN"/>
        </w:rPr>
      </w:pPr>
      <w:r>
        <w:rPr>
          <w:rFonts w:hint="eastAsia" w:ascii="宋体" w:hAnsi="宋体" w:eastAsia="宋体" w:cs="宋体"/>
          <w:lang w:val="en-US" w:eastAsia="zh-CN"/>
        </w:rPr>
        <w:t>考虑到</w:t>
      </w:r>
      <w:r>
        <w:rPr>
          <w:lang w:val="en-US" w:eastAsia="zh-CN"/>
        </w:rPr>
        <w:t>2009</w:t>
      </w:r>
      <w:r>
        <w:rPr>
          <w:rFonts w:hint="eastAsia" w:ascii="宋体" w:hAnsi="宋体" w:eastAsia="宋体" w:cs="宋体"/>
          <w:lang w:val="en-US" w:eastAsia="zh-CN"/>
        </w:rPr>
        <w:t>年</w:t>
      </w:r>
      <w:r>
        <w:rPr>
          <w:lang w:val="en-US" w:eastAsia="zh-CN"/>
        </w:rPr>
        <w:t>10</w:t>
      </w:r>
      <w:r>
        <w:rPr>
          <w:rFonts w:hint="eastAsia" w:ascii="宋体" w:hAnsi="宋体" w:eastAsia="宋体" w:cs="宋体"/>
          <w:lang w:val="en-US" w:eastAsia="zh-CN"/>
        </w:rPr>
        <w:t>月</w:t>
      </w:r>
      <w:r>
        <w:rPr>
          <w:lang w:val="en-US" w:eastAsia="zh-CN"/>
        </w:rPr>
        <w:t>21</w:t>
      </w:r>
      <w:r>
        <w:rPr>
          <w:rFonts w:hint="eastAsia" w:ascii="宋体" w:hAnsi="宋体" w:eastAsia="宋体" w:cs="宋体"/>
          <w:lang w:val="en-US" w:eastAsia="zh-CN"/>
        </w:rPr>
        <w:t>日欧洲议会和理事会关于植物保护产品投放市场的法规</w:t>
      </w:r>
      <w:r>
        <w:rPr>
          <w:lang w:val="en-US" w:eastAsia="zh-CN"/>
        </w:rPr>
        <w:t>(EC)No1107/2009</w:t>
      </w:r>
      <w:r>
        <w:rPr>
          <w:rFonts w:hint="eastAsia" w:ascii="宋体" w:hAnsi="宋体" w:eastAsia="宋体" w:cs="宋体"/>
          <w:lang w:val="en-US" w:eastAsia="zh-CN"/>
        </w:rPr>
        <w:t>，并废除理事会指令</w:t>
      </w:r>
      <w:r>
        <w:rPr>
          <w:lang w:val="en-US" w:eastAsia="zh-CN"/>
        </w:rPr>
        <w:t>79/117/EEC</w:t>
      </w:r>
      <w:r>
        <w:rPr>
          <w:rFonts w:hint="eastAsia" w:ascii="宋体" w:hAnsi="宋体" w:eastAsia="宋体" w:cs="宋体"/>
          <w:lang w:val="en-US" w:eastAsia="zh-CN"/>
        </w:rPr>
        <w:t>和</w:t>
      </w:r>
      <w:r>
        <w:rPr>
          <w:lang w:val="en-US" w:eastAsia="zh-CN"/>
        </w:rPr>
        <w:t>91/414/EEC</w:t>
      </w:r>
      <w:r>
        <w:rPr>
          <w:vertAlign w:val="superscript"/>
          <w:lang w:val="en-US" w:eastAsia="zh-CN"/>
        </w:rPr>
        <w:t>1</w:t>
      </w:r>
      <w:r>
        <w:rPr>
          <w:rFonts w:hint="eastAsia" w:ascii="宋体" w:hAnsi="宋体" w:eastAsia="宋体" w:cs="宋体"/>
          <w:lang w:val="en-US" w:eastAsia="zh-CN"/>
        </w:rPr>
        <w:t>，特别是其中的第</w:t>
      </w:r>
      <w:r>
        <w:rPr>
          <w:lang w:val="en-US" w:eastAsia="zh-CN"/>
        </w:rPr>
        <w:t>20(1)</w:t>
      </w:r>
      <w:r>
        <w:rPr>
          <w:rFonts w:hint="eastAsia" w:ascii="宋体" w:hAnsi="宋体" w:eastAsia="宋体" w:cs="宋体"/>
          <w:lang w:val="en-US" w:eastAsia="zh-CN"/>
        </w:rPr>
        <w:t>条和第</w:t>
      </w:r>
      <w:r>
        <w:rPr>
          <w:lang w:val="en-US" w:eastAsia="zh-CN"/>
        </w:rPr>
        <w:t>78(2)</w:t>
      </w:r>
      <w:r>
        <w:rPr>
          <w:rFonts w:hint="eastAsia" w:ascii="宋体" w:hAnsi="宋体" w:eastAsia="宋体" w:cs="宋体"/>
          <w:lang w:val="en-US" w:eastAsia="zh-CN"/>
        </w:rPr>
        <w:t>条，</w:t>
      </w:r>
    </w:p>
    <w:p w14:paraId="23D0629D">
      <w:pPr>
        <w:pStyle w:val="2"/>
        <w:ind w:left="116"/>
      </w:pPr>
      <w:r>
        <w:rPr>
          <w:rFonts w:hint="eastAsia" w:ascii="宋体" w:hAnsi="宋体" w:eastAsia="宋体" w:cs="宋体"/>
        </w:rPr>
        <w:t>鉴于</w:t>
      </w:r>
      <w:r>
        <w:t>:</w:t>
      </w:r>
    </w:p>
    <w:p w14:paraId="182BFE96">
      <w:pPr>
        <w:pStyle w:val="8"/>
        <w:numPr>
          <w:ilvl w:val="0"/>
          <w:numId w:val="1"/>
        </w:numPr>
        <w:tabs>
          <w:tab w:val="left" w:pos="825"/>
        </w:tabs>
        <w:ind w:right="114"/>
        <w:jc w:val="both"/>
        <w:rPr>
          <w:sz w:val="24"/>
          <w:lang w:val="en-US" w:eastAsia="zh-CN"/>
        </w:rPr>
      </w:pPr>
      <w:r>
        <w:rPr>
          <w:rFonts w:hint="eastAsia" w:ascii="宋体" w:hAnsi="宋体" w:eastAsia="宋体" w:cs="宋体"/>
          <w:sz w:val="24"/>
          <w:szCs w:val="24"/>
          <w:lang w:val="en-US" w:eastAsia="zh-CN"/>
        </w:rPr>
        <w:t>欧盟委员会指令</w:t>
      </w:r>
      <w:r>
        <w:rPr>
          <w:sz w:val="24"/>
          <w:szCs w:val="24"/>
          <w:lang w:val="en-US" w:eastAsia="zh-CN"/>
        </w:rPr>
        <w:t>2003/84/EC</w:t>
      </w:r>
      <w:r>
        <w:rPr>
          <w:sz w:val="24"/>
          <w:szCs w:val="24"/>
          <w:vertAlign w:val="superscript"/>
          <w:lang w:val="en-US" w:eastAsia="zh-CN"/>
        </w:rPr>
        <w:t>2</w:t>
      </w:r>
      <w:r>
        <w:rPr>
          <w:rFonts w:hint="eastAsia" w:ascii="宋体" w:hAnsi="宋体" w:eastAsia="宋体" w:cs="宋体"/>
          <w:sz w:val="24"/>
          <w:szCs w:val="24"/>
          <w:lang w:val="en-US" w:eastAsia="zh-CN"/>
        </w:rPr>
        <w:t>将氟噻草胺作为活性物质列入理事会指令</w:t>
      </w:r>
      <w:r>
        <w:rPr>
          <w:sz w:val="24"/>
          <w:szCs w:val="24"/>
          <w:lang w:val="en-US" w:eastAsia="zh-CN"/>
        </w:rPr>
        <w:t>91/414/EEC</w:t>
      </w:r>
      <w:r>
        <w:rPr>
          <w:sz w:val="24"/>
          <w:szCs w:val="24"/>
          <w:vertAlign w:val="superscript"/>
          <w:lang w:val="en-US" w:eastAsia="zh-CN"/>
        </w:rPr>
        <w:t>3</w:t>
      </w:r>
      <w:r>
        <w:rPr>
          <w:rFonts w:hint="eastAsia" w:ascii="宋体" w:hAnsi="宋体" w:eastAsia="宋体" w:cs="宋体"/>
          <w:sz w:val="24"/>
          <w:szCs w:val="24"/>
          <w:lang w:val="en-US" w:eastAsia="zh-CN"/>
        </w:rPr>
        <w:t>附件</w:t>
      </w:r>
      <w:r>
        <w:rPr>
          <w:sz w:val="24"/>
          <w:szCs w:val="24"/>
          <w:lang w:val="en-US" w:eastAsia="zh-CN"/>
        </w:rPr>
        <w:t>I</w:t>
      </w:r>
      <w:r>
        <w:rPr>
          <w:rFonts w:hint="eastAsia" w:ascii="宋体" w:hAnsi="宋体" w:eastAsia="宋体" w:cs="宋体"/>
          <w:sz w:val="24"/>
          <w:szCs w:val="24"/>
          <w:lang w:val="en-US" w:eastAsia="zh-CN"/>
        </w:rPr>
        <w:t>。</w:t>
      </w:r>
    </w:p>
    <w:p w14:paraId="46BE6311">
      <w:pPr>
        <w:pStyle w:val="8"/>
        <w:numPr>
          <w:ilvl w:val="0"/>
          <w:numId w:val="1"/>
        </w:numPr>
        <w:tabs>
          <w:tab w:val="left" w:pos="825"/>
        </w:tabs>
        <w:spacing w:before="121"/>
        <w:ind w:right="114"/>
        <w:jc w:val="both"/>
        <w:rPr>
          <w:sz w:val="24"/>
          <w:lang w:val="en-US" w:eastAsia="zh-CN"/>
        </w:rPr>
      </w:pPr>
      <w:r>
        <w:rPr>
          <w:rFonts w:hint="eastAsia" w:ascii="宋体" w:hAnsi="宋体" w:eastAsia="宋体" w:cs="宋体"/>
          <w:sz w:val="24"/>
          <w:szCs w:val="24"/>
          <w:lang w:val="en-US" w:eastAsia="zh-CN"/>
        </w:rPr>
        <w:t>第</w:t>
      </w:r>
      <w:r>
        <w:rPr>
          <w:sz w:val="24"/>
          <w:szCs w:val="24"/>
          <w:lang w:val="en-US" w:eastAsia="zh-CN"/>
        </w:rPr>
        <w:t>91/414/EEC</w:t>
      </w:r>
      <w:r>
        <w:rPr>
          <w:rFonts w:hint="eastAsia" w:ascii="宋体" w:hAnsi="宋体" w:eastAsia="宋体" w:cs="宋体"/>
          <w:sz w:val="24"/>
          <w:szCs w:val="24"/>
          <w:lang w:val="en-US" w:eastAsia="zh-CN"/>
        </w:rPr>
        <w:t>号指令附件</w:t>
      </w:r>
      <w:r>
        <w:rPr>
          <w:sz w:val="24"/>
          <w:szCs w:val="24"/>
          <w:lang w:val="en-US" w:eastAsia="zh-CN"/>
        </w:rPr>
        <w:t>I</w:t>
      </w:r>
      <w:r>
        <w:rPr>
          <w:rFonts w:hint="eastAsia" w:ascii="宋体" w:hAnsi="宋体" w:eastAsia="宋体" w:cs="宋体"/>
          <w:sz w:val="24"/>
          <w:szCs w:val="24"/>
          <w:lang w:val="en-US" w:eastAsia="zh-CN"/>
        </w:rPr>
        <w:t>中包含的活性物质被视为已根据（</w:t>
      </w:r>
      <w:r>
        <w:rPr>
          <w:sz w:val="24"/>
          <w:szCs w:val="24"/>
          <w:lang w:val="en-US" w:eastAsia="zh-CN"/>
        </w:rPr>
        <w:t>EC</w:t>
      </w:r>
      <w:r>
        <w:rPr>
          <w:rFonts w:hint="eastAsia" w:ascii="宋体" w:hAnsi="宋体" w:eastAsia="宋体" w:cs="宋体"/>
          <w:sz w:val="24"/>
          <w:szCs w:val="24"/>
          <w:lang w:val="en-US" w:eastAsia="zh-CN"/>
        </w:rPr>
        <w:t>）第</w:t>
      </w:r>
      <w:r>
        <w:rPr>
          <w:sz w:val="24"/>
          <w:szCs w:val="24"/>
          <w:lang w:val="en-US" w:eastAsia="zh-CN"/>
        </w:rPr>
        <w:t>1107/2009</w:t>
      </w:r>
      <w:r>
        <w:rPr>
          <w:rFonts w:hint="eastAsia" w:ascii="宋体" w:hAnsi="宋体" w:eastAsia="宋体" w:cs="宋体"/>
          <w:sz w:val="24"/>
          <w:szCs w:val="24"/>
          <w:lang w:val="en-US" w:eastAsia="zh-CN"/>
        </w:rPr>
        <w:t>号法规获得批准，并被列入委员会（</w:t>
      </w:r>
      <w:r>
        <w:rPr>
          <w:sz w:val="24"/>
          <w:szCs w:val="24"/>
          <w:lang w:val="en-US" w:eastAsia="zh-CN"/>
        </w:rPr>
        <w:t>EU</w:t>
      </w:r>
      <w:r>
        <w:rPr>
          <w:rFonts w:hint="eastAsia" w:ascii="宋体" w:hAnsi="宋体" w:eastAsia="宋体" w:cs="宋体"/>
          <w:sz w:val="24"/>
          <w:szCs w:val="24"/>
          <w:lang w:val="en-US" w:eastAsia="zh-CN"/>
        </w:rPr>
        <w:t>）第</w:t>
      </w:r>
      <w:r>
        <w:rPr>
          <w:sz w:val="24"/>
          <w:szCs w:val="24"/>
          <w:lang w:val="en-US" w:eastAsia="zh-CN"/>
        </w:rPr>
        <w:t>540/2011</w:t>
      </w:r>
      <w:r>
        <w:rPr>
          <w:rFonts w:hint="eastAsia" w:ascii="宋体" w:hAnsi="宋体" w:eastAsia="宋体" w:cs="宋体"/>
          <w:sz w:val="24"/>
          <w:szCs w:val="24"/>
          <w:lang w:val="en-US" w:eastAsia="zh-CN"/>
        </w:rPr>
        <w:t>号法规附件</w:t>
      </w:r>
      <w:r>
        <w:rPr>
          <w:sz w:val="24"/>
          <w:szCs w:val="24"/>
          <w:lang w:val="en-US" w:eastAsia="zh-CN"/>
        </w:rPr>
        <w:t>A</w:t>
      </w:r>
      <w:r>
        <w:rPr>
          <w:rFonts w:hint="eastAsia" w:ascii="宋体" w:hAnsi="宋体" w:eastAsia="宋体" w:cs="宋体"/>
          <w:sz w:val="24"/>
          <w:szCs w:val="24"/>
          <w:lang w:val="en-US" w:eastAsia="zh-CN"/>
        </w:rPr>
        <w:t>部分</w:t>
      </w:r>
      <w:r>
        <w:rPr>
          <w:rFonts w:ascii="宋体" w:hAnsi="宋体" w:eastAsia="宋体" w:cs="宋体"/>
          <w:sz w:val="24"/>
          <w:szCs w:val="24"/>
          <w:vertAlign w:val="superscript"/>
          <w:lang w:val="en-US" w:eastAsia="zh-CN"/>
        </w:rPr>
        <w:t>4</w:t>
      </w:r>
      <w:r>
        <w:rPr>
          <w:rFonts w:hint="eastAsia" w:ascii="宋体" w:hAnsi="宋体" w:eastAsia="宋体" w:cs="宋体"/>
          <w:sz w:val="24"/>
          <w:szCs w:val="24"/>
          <w:lang w:val="en-US" w:eastAsia="zh-CN"/>
        </w:rPr>
        <w:t>。</w:t>
      </w:r>
    </w:p>
    <w:p w14:paraId="5051B2EF">
      <w:pPr>
        <w:pStyle w:val="8"/>
        <w:numPr>
          <w:ilvl w:val="0"/>
          <w:numId w:val="1"/>
        </w:numPr>
        <w:tabs>
          <w:tab w:val="left" w:pos="825"/>
        </w:tabs>
        <w:jc w:val="both"/>
        <w:rPr>
          <w:sz w:val="24"/>
          <w:lang w:val="en-US" w:eastAsia="zh-CN"/>
        </w:rPr>
      </w:pPr>
      <w:r>
        <w:rPr>
          <w:rFonts w:hint="eastAsia" w:ascii="宋体" w:hAnsi="宋体" w:eastAsia="宋体" w:cs="宋体"/>
          <w:sz w:val="24"/>
          <w:szCs w:val="24"/>
          <w:lang w:val="en-US" w:eastAsia="zh-CN"/>
        </w:rPr>
        <w:t>实施条例（</w:t>
      </w:r>
      <w:r>
        <w:rPr>
          <w:sz w:val="24"/>
          <w:szCs w:val="24"/>
          <w:lang w:val="en-US" w:eastAsia="zh-CN"/>
        </w:rPr>
        <w:t>EU</w:t>
      </w:r>
      <w:r>
        <w:rPr>
          <w:rFonts w:hint="eastAsia" w:ascii="宋体" w:hAnsi="宋体" w:eastAsia="宋体" w:cs="宋体"/>
          <w:sz w:val="24"/>
          <w:szCs w:val="24"/>
          <w:lang w:val="en-US" w:eastAsia="zh-CN"/>
        </w:rPr>
        <w:t>）</w:t>
      </w:r>
      <w:r>
        <w:rPr>
          <w:sz w:val="24"/>
          <w:szCs w:val="24"/>
          <w:lang w:val="en-US" w:eastAsia="zh-CN"/>
        </w:rPr>
        <w:t>No540/2011</w:t>
      </w:r>
      <w:r>
        <w:rPr>
          <w:rFonts w:hint="eastAsia" w:ascii="宋体" w:hAnsi="宋体" w:eastAsia="宋体" w:cs="宋体"/>
          <w:sz w:val="24"/>
          <w:szCs w:val="24"/>
          <w:lang w:val="en-US" w:eastAsia="zh-CN"/>
        </w:rPr>
        <w:t>附件</w:t>
      </w:r>
      <w:r>
        <w:rPr>
          <w:sz w:val="24"/>
          <w:szCs w:val="24"/>
          <w:lang w:val="en-US" w:eastAsia="zh-CN"/>
        </w:rPr>
        <w:t>A</w:t>
      </w:r>
      <w:r>
        <w:rPr>
          <w:rFonts w:hint="eastAsia" w:ascii="宋体" w:hAnsi="宋体" w:eastAsia="宋体" w:cs="宋体"/>
          <w:sz w:val="24"/>
          <w:szCs w:val="24"/>
          <w:lang w:val="en-US" w:eastAsia="zh-CN"/>
        </w:rPr>
        <w:t>部分规定的活性物质氟噻草胺的批准将于</w:t>
      </w:r>
      <w:r>
        <w:rPr>
          <w:sz w:val="24"/>
          <w:szCs w:val="24"/>
          <w:lang w:val="en-US" w:eastAsia="zh-CN"/>
        </w:rPr>
        <w:t>2025</w:t>
      </w:r>
      <w:r>
        <w:rPr>
          <w:rFonts w:hint="eastAsia" w:ascii="宋体" w:hAnsi="宋体" w:eastAsia="宋体" w:cs="宋体"/>
          <w:sz w:val="24"/>
          <w:szCs w:val="24"/>
          <w:lang w:val="en-US" w:eastAsia="zh-CN"/>
        </w:rPr>
        <w:t>年</w:t>
      </w:r>
      <w:r>
        <w:rPr>
          <w:sz w:val="24"/>
          <w:szCs w:val="24"/>
          <w:lang w:val="en-US" w:eastAsia="zh-CN"/>
        </w:rPr>
        <w:t>6</w:t>
      </w:r>
      <w:r>
        <w:rPr>
          <w:rFonts w:hint="eastAsia" w:ascii="宋体" w:hAnsi="宋体" w:eastAsia="宋体" w:cs="宋体"/>
          <w:sz w:val="24"/>
          <w:szCs w:val="24"/>
          <w:lang w:val="en-US" w:eastAsia="zh-CN"/>
        </w:rPr>
        <w:t>月</w:t>
      </w:r>
      <w:r>
        <w:rPr>
          <w:sz w:val="24"/>
          <w:szCs w:val="24"/>
          <w:lang w:val="en-US" w:eastAsia="zh-CN"/>
        </w:rPr>
        <w:t>15</w:t>
      </w:r>
      <w:r>
        <w:rPr>
          <w:rFonts w:hint="eastAsia" w:ascii="宋体" w:hAnsi="宋体" w:eastAsia="宋体" w:cs="宋体"/>
          <w:sz w:val="24"/>
          <w:szCs w:val="24"/>
          <w:lang w:val="en-US" w:eastAsia="zh-CN"/>
        </w:rPr>
        <w:t>日到期。</w:t>
      </w:r>
    </w:p>
    <w:p w14:paraId="49CDF347">
      <w:pPr>
        <w:pStyle w:val="8"/>
        <w:numPr>
          <w:ilvl w:val="0"/>
          <w:numId w:val="1"/>
        </w:numPr>
        <w:tabs>
          <w:tab w:val="left" w:pos="825"/>
        </w:tabs>
        <w:ind w:right="112"/>
        <w:jc w:val="both"/>
        <w:rPr>
          <w:sz w:val="24"/>
          <w:lang w:val="en-US"/>
        </w:rPr>
      </w:pPr>
      <w:r>
        <w:rPr>
          <w:rFonts w:hint="eastAsia" w:ascii="宋体" w:hAnsi="宋体" w:eastAsia="宋体" w:cs="宋体"/>
          <w:sz w:val="24"/>
          <w:szCs w:val="24"/>
          <w:lang w:val="en-US" w:eastAsia="zh-CN"/>
        </w:rPr>
        <w:t>根据欧盟委员会法规实施细则</w:t>
      </w:r>
      <w:r>
        <w:rPr>
          <w:sz w:val="24"/>
          <w:szCs w:val="24"/>
          <w:lang w:val="en-US" w:eastAsia="zh-CN"/>
        </w:rPr>
        <w:t>(EU)No844/2012</w:t>
      </w:r>
      <w:r>
        <w:rPr>
          <w:sz w:val="24"/>
          <w:szCs w:val="24"/>
          <w:vertAlign w:val="superscript"/>
          <w:lang w:val="en-US" w:eastAsia="zh-CN"/>
        </w:rPr>
        <w:t>5</w:t>
      </w:r>
      <w:r>
        <w:rPr>
          <w:rFonts w:hint="eastAsia" w:ascii="宋体" w:hAnsi="宋体" w:eastAsia="宋体" w:cs="宋体"/>
          <w:sz w:val="24"/>
          <w:szCs w:val="24"/>
          <w:lang w:val="en-US" w:eastAsia="zh-CN"/>
        </w:rPr>
        <w:t>第</w:t>
      </w:r>
      <w:r>
        <w:rPr>
          <w:sz w:val="24"/>
          <w:szCs w:val="24"/>
          <w:lang w:val="en-US" w:eastAsia="zh-CN"/>
        </w:rPr>
        <w:t>1</w:t>
      </w:r>
      <w:r>
        <w:rPr>
          <w:rFonts w:hint="eastAsia" w:ascii="宋体" w:hAnsi="宋体" w:eastAsia="宋体" w:cs="宋体"/>
          <w:sz w:val="24"/>
          <w:szCs w:val="24"/>
          <w:lang w:val="en-US" w:eastAsia="zh-CN"/>
        </w:rPr>
        <w:t>条，在该条款规定的期限内向报告员成员国波兰和联合报告员成员国法国提交了活性物质氟噻草胺审批续期申请。</w:t>
      </w:r>
      <w:r>
        <w:rPr>
          <w:rFonts w:hint="eastAsia" w:ascii="宋体" w:hAnsi="宋体" w:eastAsia="宋体" w:cs="宋体"/>
          <w:sz w:val="24"/>
          <w:szCs w:val="24"/>
          <w:lang w:val="en-US"/>
        </w:rPr>
        <w:t>就续期程序而言，该规例继续适用。</w:t>
      </w:r>
    </w:p>
    <w:p w14:paraId="038F5324">
      <w:pPr>
        <w:pStyle w:val="2"/>
        <w:spacing w:before="0"/>
        <w:rPr>
          <w:sz w:val="20"/>
          <w:lang w:val="en-US"/>
        </w:rPr>
      </w:pPr>
    </w:p>
    <w:p w14:paraId="27CC8C34">
      <w:pPr>
        <w:pStyle w:val="2"/>
        <w:spacing w:before="4"/>
        <w:rPr>
          <w:sz w:val="14"/>
          <w:lang w:val="en-US"/>
        </w:rPr>
      </w:pPr>
      <w:r>
        <w:pict>
          <v:rect id="docshape6" o:spid="_x0000_s2053" o:spt="1" style="position:absolute;left:0pt;margin-left:70.8pt;margin-top:9.45pt;height:0.6pt;width:144pt;mso-position-horizontal-relative:page;mso-wrap-distance-bottom:0pt;mso-wrap-distance-top:0pt;z-index:-251653120;mso-width-relative:page;mso-height-relative:page;" fillcolor="#000000" filled="t" stroked="f" coordsize="21600,21600">
            <v:path/>
            <v:fill on="t" focussize="0,0"/>
            <v:stroke on="f"/>
            <v:imagedata o:title=""/>
            <o:lock v:ext="edit"/>
            <w10:wrap type="topAndBottom"/>
          </v:rect>
        </w:pict>
      </w:r>
    </w:p>
    <w:p w14:paraId="1DB6D5C7">
      <w:pPr>
        <w:tabs>
          <w:tab w:val="left" w:pos="836"/>
        </w:tabs>
        <w:spacing w:before="103"/>
        <w:ind w:left="116"/>
        <w:jc w:val="both"/>
        <w:rPr>
          <w:sz w:val="20"/>
          <w:lang w:val="fi-FI"/>
        </w:rPr>
      </w:pPr>
      <w:r>
        <w:rPr>
          <w:spacing w:val="-10"/>
          <w:sz w:val="20"/>
          <w:vertAlign w:val="superscript"/>
          <w:lang w:val="fi-FI"/>
        </w:rPr>
        <w:t>1</w:t>
      </w:r>
      <w:r>
        <w:rPr>
          <w:sz w:val="20"/>
          <w:lang w:val="fi-FI"/>
        </w:rPr>
        <w:tab/>
      </w:r>
      <w:r>
        <w:rPr>
          <w:sz w:val="20"/>
          <w:lang w:val="fi-FI"/>
        </w:rPr>
        <w:t>OJ</w:t>
      </w:r>
      <w:r>
        <w:rPr>
          <w:spacing w:val="-4"/>
          <w:sz w:val="20"/>
          <w:lang w:val="fi-FI"/>
        </w:rPr>
        <w:t xml:space="preserve"> </w:t>
      </w:r>
      <w:r>
        <w:rPr>
          <w:sz w:val="20"/>
          <w:lang w:val="fi-FI"/>
        </w:rPr>
        <w:t>L</w:t>
      </w:r>
      <w:r>
        <w:rPr>
          <w:spacing w:val="-3"/>
          <w:sz w:val="20"/>
          <w:lang w:val="fi-FI"/>
        </w:rPr>
        <w:t xml:space="preserve"> </w:t>
      </w:r>
      <w:r>
        <w:rPr>
          <w:sz w:val="20"/>
          <w:lang w:val="fi-FI"/>
        </w:rPr>
        <w:t>309,</w:t>
      </w:r>
      <w:r>
        <w:rPr>
          <w:spacing w:val="-2"/>
          <w:sz w:val="20"/>
          <w:lang w:val="fi-FI"/>
        </w:rPr>
        <w:t xml:space="preserve"> </w:t>
      </w:r>
      <w:r>
        <w:rPr>
          <w:sz w:val="20"/>
          <w:lang w:val="fi-FI"/>
        </w:rPr>
        <w:t>24.11.2009,</w:t>
      </w:r>
      <w:r>
        <w:rPr>
          <w:spacing w:val="-4"/>
          <w:sz w:val="20"/>
          <w:lang w:val="fi-FI"/>
        </w:rPr>
        <w:t xml:space="preserve"> </w:t>
      </w:r>
      <w:r>
        <w:rPr>
          <w:sz w:val="20"/>
          <w:lang w:val="fi-FI"/>
        </w:rPr>
        <w:t>p.</w:t>
      </w:r>
      <w:r>
        <w:rPr>
          <w:spacing w:val="-4"/>
          <w:sz w:val="20"/>
          <w:lang w:val="fi-FI"/>
        </w:rPr>
        <w:t xml:space="preserve"> </w:t>
      </w:r>
      <w:r>
        <w:rPr>
          <w:sz w:val="20"/>
          <w:lang w:val="fi-FI"/>
        </w:rPr>
        <w:t>1,</w:t>
      </w:r>
      <w:r>
        <w:rPr>
          <w:spacing w:val="-3"/>
          <w:sz w:val="20"/>
          <w:lang w:val="fi-FI"/>
        </w:rPr>
        <w:t xml:space="preserve"> </w:t>
      </w:r>
      <w:r>
        <w:rPr>
          <w:sz w:val="20"/>
          <w:lang w:val="fi-FI"/>
        </w:rPr>
        <w:t>ELI:</w:t>
      </w:r>
      <w:r>
        <w:rPr>
          <w:spacing w:val="-2"/>
          <w:sz w:val="20"/>
          <w:lang w:val="fi-FI"/>
        </w:rPr>
        <w:t xml:space="preserve"> </w:t>
      </w:r>
      <w:r>
        <w:fldChar w:fldCharType="begin"/>
      </w:r>
      <w:r>
        <w:instrText xml:space="preserve"> HYPERLINK "http://data.europa.eu/eli/reg/2009/1107/oj" \h </w:instrText>
      </w:r>
      <w:r>
        <w:fldChar w:fldCharType="separate"/>
      </w:r>
      <w:r>
        <w:rPr>
          <w:color w:val="0000FF"/>
          <w:spacing w:val="-2"/>
          <w:sz w:val="20"/>
          <w:u w:val="single" w:color="0000FF"/>
          <w:lang w:val="fi-FI"/>
        </w:rPr>
        <w:t>http://data.europa.eu/eli/reg/2009/1107/oj</w:t>
      </w:r>
      <w:r>
        <w:rPr>
          <w:spacing w:val="-2"/>
          <w:sz w:val="20"/>
          <w:lang w:val="fi-FI"/>
        </w:rPr>
        <w:t>.</w:t>
      </w:r>
      <w:r>
        <w:rPr>
          <w:spacing w:val="-2"/>
          <w:sz w:val="20"/>
          <w:lang w:val="fi-FI"/>
        </w:rPr>
        <w:fldChar w:fldCharType="end"/>
      </w:r>
    </w:p>
    <w:p w14:paraId="67AF420A">
      <w:pPr>
        <w:tabs>
          <w:tab w:val="left" w:pos="836"/>
        </w:tabs>
        <w:spacing w:before="1"/>
        <w:ind w:left="836" w:right="118" w:hanging="720"/>
        <w:jc w:val="both"/>
        <w:rPr>
          <w:sz w:val="20"/>
          <w:lang w:val="fi-FI" w:eastAsia="zh-CN"/>
        </w:rPr>
      </w:pPr>
      <w:r>
        <w:rPr>
          <w:spacing w:val="-10"/>
          <w:sz w:val="20"/>
          <w:vertAlign w:val="superscript"/>
          <w:lang w:val="fi-FI" w:eastAsia="zh-CN"/>
        </w:rPr>
        <w:t>2</w:t>
      </w:r>
      <w:r>
        <w:rPr>
          <w:sz w:val="20"/>
          <w:lang w:val="fi-FI" w:eastAsia="zh-CN"/>
        </w:rPr>
        <w:tab/>
      </w:r>
      <w:r>
        <w:rPr>
          <w:sz w:val="20"/>
          <w:szCs w:val="20"/>
          <w:lang w:val="fi-FI" w:eastAsia="zh-CN"/>
        </w:rPr>
        <w:t>2003</w:t>
      </w:r>
      <w:r>
        <w:rPr>
          <w:rFonts w:hint="eastAsia" w:ascii="宋体" w:hAnsi="宋体" w:eastAsia="宋体" w:cs="宋体"/>
          <w:sz w:val="20"/>
          <w:szCs w:val="20"/>
          <w:lang w:val="fi-FI" w:eastAsia="zh-CN"/>
        </w:rPr>
        <w:t>年</w:t>
      </w:r>
      <w:r>
        <w:rPr>
          <w:sz w:val="20"/>
          <w:szCs w:val="20"/>
          <w:lang w:val="fi-FI" w:eastAsia="zh-CN"/>
        </w:rPr>
        <w:t>9</w:t>
      </w:r>
      <w:r>
        <w:rPr>
          <w:rFonts w:hint="eastAsia" w:ascii="宋体" w:hAnsi="宋体" w:eastAsia="宋体" w:cs="宋体"/>
          <w:sz w:val="20"/>
          <w:szCs w:val="20"/>
          <w:lang w:val="fi-FI" w:eastAsia="zh-CN"/>
        </w:rPr>
        <w:t>月</w:t>
      </w:r>
      <w:r>
        <w:rPr>
          <w:sz w:val="20"/>
          <w:szCs w:val="20"/>
          <w:lang w:val="fi-FI" w:eastAsia="zh-CN"/>
        </w:rPr>
        <w:t>25</w:t>
      </w:r>
      <w:r>
        <w:rPr>
          <w:rFonts w:hint="eastAsia" w:ascii="宋体" w:hAnsi="宋体" w:eastAsia="宋体" w:cs="宋体"/>
          <w:sz w:val="20"/>
          <w:szCs w:val="20"/>
          <w:lang w:val="fi-FI" w:eastAsia="zh-CN"/>
        </w:rPr>
        <w:t>日欧盟委员会指令</w:t>
      </w:r>
      <w:r>
        <w:rPr>
          <w:sz w:val="20"/>
          <w:szCs w:val="20"/>
          <w:lang w:val="fi-FI" w:eastAsia="zh-CN"/>
        </w:rPr>
        <w:t>2003/84/EC</w:t>
      </w:r>
      <w:r>
        <w:rPr>
          <w:rFonts w:hint="eastAsia" w:ascii="宋体" w:hAnsi="宋体" w:eastAsia="宋体" w:cs="宋体"/>
          <w:sz w:val="20"/>
          <w:szCs w:val="20"/>
          <w:lang w:val="fi-FI" w:eastAsia="zh-CN"/>
        </w:rPr>
        <w:t>，修订理事会指令</w:t>
      </w:r>
      <w:r>
        <w:rPr>
          <w:sz w:val="20"/>
          <w:szCs w:val="20"/>
          <w:lang w:val="fi-FI" w:eastAsia="zh-CN"/>
        </w:rPr>
        <w:t>91/414/EEC</w:t>
      </w:r>
      <w:r>
        <w:rPr>
          <w:rFonts w:hint="eastAsia" w:ascii="宋体" w:hAnsi="宋体" w:eastAsia="宋体" w:cs="宋体"/>
          <w:sz w:val="20"/>
          <w:szCs w:val="20"/>
          <w:lang w:val="fi-FI" w:eastAsia="zh-CN"/>
        </w:rPr>
        <w:t>，将呋草酮、氟噻草胺、碘磺隆、二甲烯酰胺、啶氧菌酯、噻唑磷和硅噻菌胺列为活性物质</w:t>
      </w:r>
      <w:r>
        <w:rPr>
          <w:sz w:val="20"/>
          <w:szCs w:val="20"/>
          <w:lang w:val="fi-FI" w:eastAsia="zh-CN"/>
        </w:rPr>
        <w:t>(OJL247,30.9.20 03,p.34,ELI:</w:t>
      </w:r>
      <w:r>
        <w:fldChar w:fldCharType="begin"/>
      </w:r>
      <w:r>
        <w:instrText xml:space="preserve"> HYPERLINK "http://data.europa.eu/eli/dir/2003/84/oj" \h </w:instrText>
      </w:r>
      <w:r>
        <w:fldChar w:fldCharType="separate"/>
      </w:r>
      <w:r>
        <w:rPr>
          <w:color w:val="0000FF"/>
          <w:sz w:val="20"/>
          <w:u w:val="single" w:color="0000FF"/>
          <w:lang w:val="fi-FI" w:eastAsia="zh-CN"/>
        </w:rPr>
        <w:t>http://data.europa.eu/eli/dir/2003/84/oj</w:t>
      </w:r>
      <w:r>
        <w:rPr>
          <w:color w:val="0000FF"/>
          <w:sz w:val="20"/>
          <w:u w:val="single" w:color="0000FF"/>
          <w:lang w:val="fi-FI" w:eastAsia="zh-CN"/>
        </w:rPr>
        <w:fldChar w:fldCharType="end"/>
      </w:r>
      <w:r>
        <w:rPr>
          <w:sz w:val="20"/>
          <w:lang w:val="fi-FI" w:eastAsia="zh-CN"/>
        </w:rPr>
        <w:t>).</w:t>
      </w:r>
    </w:p>
    <w:p w14:paraId="7DC4EBB5">
      <w:pPr>
        <w:tabs>
          <w:tab w:val="left" w:pos="836"/>
        </w:tabs>
        <w:ind w:left="836" w:right="125" w:hanging="720"/>
        <w:jc w:val="both"/>
        <w:rPr>
          <w:sz w:val="20"/>
          <w:lang w:val="en-US" w:eastAsia="zh-CN"/>
        </w:rPr>
      </w:pPr>
      <w:r>
        <w:rPr>
          <w:spacing w:val="-10"/>
          <w:sz w:val="20"/>
          <w:vertAlign w:val="superscript"/>
          <w:lang w:val="en-US" w:eastAsia="zh-CN"/>
        </w:rPr>
        <w:t>3</w:t>
      </w:r>
      <w:r>
        <w:rPr>
          <w:sz w:val="20"/>
          <w:lang w:val="en-US" w:eastAsia="zh-CN"/>
        </w:rPr>
        <w:tab/>
      </w:r>
      <w:r>
        <w:rPr>
          <w:sz w:val="20"/>
          <w:szCs w:val="20"/>
          <w:lang w:val="en-US" w:eastAsia="zh-CN"/>
        </w:rPr>
        <w:t>1991</w:t>
      </w:r>
      <w:r>
        <w:rPr>
          <w:rFonts w:hint="eastAsia" w:ascii="宋体" w:hAnsi="宋体" w:eastAsia="宋体" w:cs="宋体"/>
          <w:sz w:val="20"/>
          <w:szCs w:val="20"/>
          <w:lang w:val="en-US" w:eastAsia="zh-CN"/>
        </w:rPr>
        <w:t>年</w:t>
      </w:r>
      <w:r>
        <w:rPr>
          <w:sz w:val="20"/>
          <w:szCs w:val="20"/>
          <w:lang w:val="en-US" w:eastAsia="zh-CN"/>
        </w:rPr>
        <w:t>7</w:t>
      </w:r>
      <w:r>
        <w:rPr>
          <w:rFonts w:hint="eastAsia" w:ascii="宋体" w:hAnsi="宋体" w:eastAsia="宋体" w:cs="宋体"/>
          <w:sz w:val="20"/>
          <w:szCs w:val="20"/>
          <w:lang w:val="en-US" w:eastAsia="zh-CN"/>
        </w:rPr>
        <w:t>月</w:t>
      </w:r>
      <w:r>
        <w:rPr>
          <w:sz w:val="20"/>
          <w:szCs w:val="20"/>
          <w:lang w:val="en-US" w:eastAsia="zh-CN"/>
        </w:rPr>
        <w:t>15</w:t>
      </w:r>
      <w:r>
        <w:rPr>
          <w:rFonts w:hint="eastAsia" w:ascii="宋体" w:hAnsi="宋体" w:eastAsia="宋体" w:cs="宋体"/>
          <w:sz w:val="20"/>
          <w:szCs w:val="20"/>
          <w:lang w:val="en-US" w:eastAsia="zh-CN"/>
        </w:rPr>
        <w:t>日关于植物保护产品投放市场的理事会指令</w:t>
      </w:r>
      <w:r>
        <w:rPr>
          <w:sz w:val="20"/>
          <w:szCs w:val="20"/>
          <w:lang w:val="en-US" w:eastAsia="zh-CN"/>
        </w:rPr>
        <w:t>91/414/EEC(OJL230,19.8.19 91,p.1,ELI:</w:t>
      </w:r>
      <w:r>
        <w:fldChar w:fldCharType="begin"/>
      </w:r>
      <w:r>
        <w:instrText xml:space="preserve"> HYPERLINK "http://data.europa.eu/eli/dir/1991/414/oj" \h </w:instrText>
      </w:r>
      <w:r>
        <w:fldChar w:fldCharType="separate"/>
      </w:r>
      <w:r>
        <w:rPr>
          <w:color w:val="0000FF"/>
          <w:sz w:val="20"/>
          <w:u w:val="single" w:color="0000FF"/>
          <w:lang w:val="en-US" w:eastAsia="zh-CN"/>
        </w:rPr>
        <w:t>http://data.europa.eu/eli/dir/1991/414/oj</w:t>
      </w:r>
      <w:r>
        <w:rPr>
          <w:color w:val="0000FF"/>
          <w:sz w:val="20"/>
          <w:u w:val="single" w:color="0000FF"/>
          <w:lang w:val="en-US" w:eastAsia="zh-CN"/>
        </w:rPr>
        <w:fldChar w:fldCharType="end"/>
      </w:r>
      <w:r>
        <w:rPr>
          <w:sz w:val="20"/>
          <w:lang w:val="en-US" w:eastAsia="zh-CN"/>
        </w:rPr>
        <w:t>).</w:t>
      </w:r>
    </w:p>
    <w:p w14:paraId="32427A3C">
      <w:pPr>
        <w:tabs>
          <w:tab w:val="left" w:pos="836"/>
        </w:tabs>
        <w:ind w:left="836" w:right="116" w:hanging="720"/>
        <w:jc w:val="both"/>
        <w:rPr>
          <w:sz w:val="20"/>
          <w:lang w:val="en-US" w:eastAsia="zh-CN"/>
        </w:rPr>
      </w:pPr>
      <w:r>
        <w:rPr>
          <w:spacing w:val="-10"/>
          <w:sz w:val="20"/>
          <w:vertAlign w:val="superscript"/>
          <w:lang w:val="en-US" w:eastAsia="zh-CN"/>
        </w:rPr>
        <w:t>4</w:t>
      </w:r>
      <w:r>
        <w:rPr>
          <w:sz w:val="20"/>
          <w:lang w:val="en-US" w:eastAsia="zh-CN"/>
        </w:rPr>
        <w:tab/>
      </w:r>
      <w:r>
        <w:rPr>
          <w:sz w:val="20"/>
          <w:szCs w:val="20"/>
          <w:lang w:val="en-US" w:eastAsia="zh-CN"/>
        </w:rPr>
        <w:t>2011</w:t>
      </w:r>
      <w:r>
        <w:rPr>
          <w:rFonts w:hint="eastAsia" w:ascii="宋体" w:hAnsi="宋体" w:eastAsia="宋体" w:cs="宋体"/>
          <w:sz w:val="20"/>
          <w:szCs w:val="20"/>
          <w:lang w:val="en-US" w:eastAsia="zh-CN"/>
        </w:rPr>
        <w:t>年</w:t>
      </w:r>
      <w:r>
        <w:rPr>
          <w:sz w:val="20"/>
          <w:szCs w:val="20"/>
          <w:lang w:val="en-US" w:eastAsia="zh-CN"/>
        </w:rPr>
        <w:t>5</w:t>
      </w:r>
      <w:r>
        <w:rPr>
          <w:rFonts w:hint="eastAsia" w:ascii="宋体" w:hAnsi="宋体" w:eastAsia="宋体" w:cs="宋体"/>
          <w:sz w:val="20"/>
          <w:szCs w:val="20"/>
          <w:lang w:val="en-US" w:eastAsia="zh-CN"/>
        </w:rPr>
        <w:t>月</w:t>
      </w:r>
      <w:r>
        <w:rPr>
          <w:sz w:val="20"/>
          <w:szCs w:val="20"/>
          <w:lang w:val="en-US" w:eastAsia="zh-CN"/>
        </w:rPr>
        <w:t>25</w:t>
      </w:r>
      <w:r>
        <w:rPr>
          <w:rFonts w:hint="eastAsia" w:ascii="宋体" w:hAnsi="宋体" w:eastAsia="宋体" w:cs="宋体"/>
          <w:sz w:val="20"/>
          <w:szCs w:val="20"/>
          <w:lang w:val="en-US" w:eastAsia="zh-CN"/>
        </w:rPr>
        <w:t>日欧盟委员会执行法规</w:t>
      </w:r>
      <w:r>
        <w:rPr>
          <w:sz w:val="20"/>
          <w:szCs w:val="20"/>
          <w:lang w:val="en-US" w:eastAsia="zh-CN"/>
        </w:rPr>
        <w:t>(EU)No540/2011</w:t>
      </w:r>
      <w:r>
        <w:rPr>
          <w:rFonts w:hint="eastAsia" w:ascii="宋体" w:hAnsi="宋体" w:eastAsia="宋体" w:cs="宋体"/>
          <w:sz w:val="20"/>
          <w:szCs w:val="20"/>
          <w:lang w:val="en-US" w:eastAsia="zh-CN"/>
        </w:rPr>
        <w:t>，执行欧洲议会和理事会关于批准的活性物质清单的法规</w:t>
      </w:r>
      <w:r>
        <w:rPr>
          <w:sz w:val="20"/>
          <w:szCs w:val="20"/>
          <w:lang w:val="en-US" w:eastAsia="zh-CN"/>
        </w:rPr>
        <w:t>(EC)No1107/2009(OJL153,11.6.20 11,p.1,ELI:</w:t>
      </w:r>
      <w:r>
        <w:fldChar w:fldCharType="begin"/>
      </w:r>
      <w:r>
        <w:instrText xml:space="preserve"> HYPERLINK "http://data.europa.eu/eli/reg_impl/2011/540/oj" \h </w:instrText>
      </w:r>
      <w:r>
        <w:fldChar w:fldCharType="separate"/>
      </w:r>
      <w:r>
        <w:rPr>
          <w:color w:val="0000FF"/>
          <w:sz w:val="20"/>
          <w:u w:val="single" w:color="0000FF"/>
          <w:lang w:val="en-US" w:eastAsia="zh-CN"/>
        </w:rPr>
        <w:t>http://data.europa.eu/eli/reg_impl/2011/540/oj</w:t>
      </w:r>
      <w:r>
        <w:rPr>
          <w:color w:val="0000FF"/>
          <w:sz w:val="20"/>
          <w:u w:val="single" w:color="0000FF"/>
          <w:lang w:val="en-US" w:eastAsia="zh-CN"/>
        </w:rPr>
        <w:fldChar w:fldCharType="end"/>
      </w:r>
      <w:r>
        <w:rPr>
          <w:sz w:val="20"/>
          <w:lang w:val="en-US" w:eastAsia="zh-CN"/>
        </w:rPr>
        <w:t>).</w:t>
      </w:r>
    </w:p>
    <w:p w14:paraId="135160A1">
      <w:pPr>
        <w:tabs>
          <w:tab w:val="left" w:pos="836"/>
        </w:tabs>
        <w:spacing w:before="1"/>
        <w:ind w:left="836" w:right="112" w:hanging="720"/>
        <w:jc w:val="both"/>
        <w:rPr>
          <w:sz w:val="20"/>
          <w:lang w:val="en-US" w:eastAsia="zh-CN"/>
        </w:rPr>
      </w:pPr>
      <w:r>
        <w:rPr>
          <w:spacing w:val="-10"/>
          <w:sz w:val="20"/>
          <w:vertAlign w:val="superscript"/>
          <w:lang w:val="en-US" w:eastAsia="zh-CN"/>
        </w:rPr>
        <w:t>5</w:t>
      </w:r>
      <w:r>
        <w:rPr>
          <w:sz w:val="20"/>
          <w:lang w:val="en-US" w:eastAsia="zh-CN"/>
        </w:rPr>
        <w:tab/>
      </w:r>
      <w:r>
        <w:rPr>
          <w:sz w:val="20"/>
          <w:szCs w:val="20"/>
          <w:lang w:val="en-US" w:eastAsia="zh-CN"/>
        </w:rPr>
        <w:t>2012</w:t>
      </w:r>
      <w:r>
        <w:rPr>
          <w:rFonts w:hint="eastAsia" w:ascii="宋体" w:hAnsi="宋体" w:eastAsia="宋体" w:cs="宋体"/>
          <w:sz w:val="20"/>
          <w:szCs w:val="20"/>
          <w:lang w:val="en-US" w:eastAsia="zh-CN"/>
        </w:rPr>
        <w:t>年</w:t>
      </w:r>
      <w:r>
        <w:rPr>
          <w:sz w:val="20"/>
          <w:szCs w:val="20"/>
          <w:lang w:val="en-US" w:eastAsia="zh-CN"/>
        </w:rPr>
        <w:t>9</w:t>
      </w:r>
      <w:r>
        <w:rPr>
          <w:rFonts w:hint="eastAsia" w:ascii="宋体" w:hAnsi="宋体" w:eastAsia="宋体" w:cs="宋体"/>
          <w:sz w:val="20"/>
          <w:szCs w:val="20"/>
          <w:lang w:val="en-US" w:eastAsia="zh-CN"/>
        </w:rPr>
        <w:t>月</w:t>
      </w:r>
      <w:r>
        <w:rPr>
          <w:sz w:val="20"/>
          <w:szCs w:val="20"/>
          <w:lang w:val="en-US" w:eastAsia="zh-CN"/>
        </w:rPr>
        <w:t>18</w:t>
      </w:r>
      <w:r>
        <w:rPr>
          <w:rFonts w:hint="eastAsia" w:ascii="宋体" w:hAnsi="宋体" w:eastAsia="宋体" w:cs="宋体"/>
          <w:sz w:val="20"/>
          <w:szCs w:val="20"/>
          <w:lang w:val="en-US" w:eastAsia="zh-CN"/>
        </w:rPr>
        <w:t>日欧盟委员会法规实施细则</w:t>
      </w:r>
      <w:r>
        <w:rPr>
          <w:sz w:val="20"/>
          <w:szCs w:val="20"/>
          <w:lang w:val="en-US" w:eastAsia="zh-CN"/>
        </w:rPr>
        <w:t>(EU)No844/2012</w:t>
      </w:r>
      <w:r>
        <w:rPr>
          <w:rFonts w:hint="eastAsia" w:ascii="宋体" w:hAnsi="宋体" w:eastAsia="宋体" w:cs="宋体"/>
          <w:sz w:val="20"/>
          <w:szCs w:val="20"/>
          <w:lang w:val="en-US" w:eastAsia="zh-CN"/>
        </w:rPr>
        <w:t>规定了实施活性物质更新程序所需的规定，如欧洲议会和理事会法规</w:t>
      </w:r>
      <w:r>
        <w:rPr>
          <w:sz w:val="20"/>
          <w:szCs w:val="20"/>
          <w:lang w:val="en-US" w:eastAsia="zh-CN"/>
        </w:rPr>
        <w:t>(EC)No1107/2009</w:t>
      </w:r>
      <w:r>
        <w:rPr>
          <w:rFonts w:hint="eastAsia" w:ascii="宋体" w:hAnsi="宋体" w:eastAsia="宋体" w:cs="宋体"/>
          <w:sz w:val="20"/>
          <w:szCs w:val="20"/>
          <w:lang w:val="en-US" w:eastAsia="zh-CN"/>
        </w:rPr>
        <w:t>关于植物保护产品投放市场的规定</w:t>
      </w:r>
      <w:r>
        <w:rPr>
          <w:sz w:val="20"/>
          <w:szCs w:val="20"/>
          <w:lang w:val="en-US" w:eastAsia="zh-CN"/>
        </w:rPr>
        <w:t>(OJL252,19.9.20 12,p.26,ELI:</w:t>
      </w:r>
      <w:r>
        <w:fldChar w:fldCharType="begin"/>
      </w:r>
      <w:r>
        <w:instrText xml:space="preserve"> HYPERLINK "http://data.europa.eu/eli/reg_impl/2012/844/oj" \h </w:instrText>
      </w:r>
      <w:r>
        <w:fldChar w:fldCharType="separate"/>
      </w:r>
      <w:r>
        <w:rPr>
          <w:color w:val="0000FF"/>
          <w:spacing w:val="-2"/>
          <w:sz w:val="20"/>
          <w:u w:val="single" w:color="0000FF"/>
          <w:lang w:val="en-US" w:eastAsia="zh-CN"/>
        </w:rPr>
        <w:t>http://data.europa.eu/eli/reg_impl/2012/844/oj</w:t>
      </w:r>
      <w:r>
        <w:rPr>
          <w:color w:val="0000FF"/>
          <w:spacing w:val="-2"/>
          <w:sz w:val="20"/>
          <w:u w:val="single" w:color="0000FF"/>
          <w:lang w:val="en-US" w:eastAsia="zh-CN"/>
        </w:rPr>
        <w:fldChar w:fldCharType="end"/>
      </w:r>
      <w:r>
        <w:rPr>
          <w:spacing w:val="-2"/>
          <w:sz w:val="20"/>
          <w:lang w:val="en-US" w:eastAsia="zh-CN"/>
        </w:rPr>
        <w:t>).</w:t>
      </w:r>
    </w:p>
    <w:p w14:paraId="5924FF92">
      <w:pPr>
        <w:jc w:val="both"/>
        <w:rPr>
          <w:sz w:val="20"/>
          <w:lang w:val="en-US" w:eastAsia="zh-CN"/>
        </w:rPr>
        <w:sectPr>
          <w:footerReference r:id="rId4" w:type="default"/>
          <w:pgSz w:w="11910" w:h="16840"/>
          <w:pgMar w:top="1400" w:right="1300" w:bottom="1240" w:left="1300" w:header="0" w:footer="1041" w:gutter="0"/>
          <w:cols w:space="720" w:num="1"/>
        </w:sectPr>
      </w:pPr>
    </w:p>
    <w:p w14:paraId="4DB706CF">
      <w:pPr>
        <w:pStyle w:val="2"/>
        <w:spacing w:before="73"/>
        <w:ind w:left="824" w:right="118"/>
        <w:jc w:val="both"/>
        <w:rPr>
          <w:lang w:val="en-US" w:eastAsia="zh-CN"/>
        </w:rPr>
      </w:pPr>
      <w:r>
        <w:rPr>
          <w:rFonts w:hint="eastAsia" w:ascii="宋体" w:hAnsi="宋体" w:eastAsia="宋体" w:cs="宋体"/>
          <w:lang w:val="en-US" w:eastAsia="zh-CN"/>
        </w:rPr>
        <w:t>根据欧盟委员会实施条例（</w:t>
      </w:r>
      <w:r>
        <w:rPr>
          <w:lang w:val="en-US" w:eastAsia="zh-CN"/>
        </w:rPr>
        <w:t>EU</w:t>
      </w:r>
      <w:r>
        <w:rPr>
          <w:rFonts w:hint="eastAsia" w:ascii="宋体" w:hAnsi="宋体" w:eastAsia="宋体" w:cs="宋体"/>
          <w:lang w:val="en-US" w:eastAsia="zh-CN"/>
        </w:rPr>
        <w:t>）</w:t>
      </w:r>
      <w:r>
        <w:rPr>
          <w:lang w:val="en-US" w:eastAsia="zh-CN"/>
        </w:rPr>
        <w:t>2020/1740</w:t>
      </w:r>
      <w:r>
        <w:rPr>
          <w:vertAlign w:val="superscript"/>
          <w:lang w:val="en-US" w:eastAsia="zh-CN"/>
        </w:rPr>
        <w:t>6</w:t>
      </w:r>
      <w:r>
        <w:rPr>
          <w:rFonts w:hint="eastAsia" w:ascii="宋体" w:hAnsi="宋体" w:eastAsia="宋体" w:cs="宋体"/>
          <w:lang w:val="en-US" w:eastAsia="zh-CN"/>
        </w:rPr>
        <w:t>第</w:t>
      </w:r>
      <w:r>
        <w:rPr>
          <w:lang w:val="en-US" w:eastAsia="zh-CN"/>
        </w:rPr>
        <w:t>17</w:t>
      </w:r>
      <w:r>
        <w:rPr>
          <w:rFonts w:hint="eastAsia" w:ascii="宋体" w:hAnsi="宋体" w:eastAsia="宋体" w:cs="宋体"/>
          <w:lang w:val="en-US" w:eastAsia="zh-CN"/>
        </w:rPr>
        <w:t>条，批准氟噻草胺。</w:t>
      </w:r>
    </w:p>
    <w:p w14:paraId="6A2AFECC">
      <w:pPr>
        <w:pStyle w:val="8"/>
        <w:numPr>
          <w:ilvl w:val="0"/>
          <w:numId w:val="1"/>
        </w:numPr>
        <w:tabs>
          <w:tab w:val="left" w:pos="825"/>
        </w:tabs>
        <w:spacing w:before="121"/>
        <w:ind w:right="112"/>
        <w:jc w:val="both"/>
        <w:rPr>
          <w:sz w:val="24"/>
          <w:lang w:val="en-US"/>
        </w:rPr>
      </w:pPr>
      <w:r>
        <w:rPr>
          <w:rFonts w:hint="eastAsia" w:ascii="宋体" w:hAnsi="宋体" w:eastAsia="宋体" w:cs="宋体"/>
          <w:sz w:val="24"/>
          <w:szCs w:val="24"/>
          <w:lang w:val="en-US" w:eastAsia="zh-CN"/>
        </w:rPr>
        <w:t>申请人根据第</w:t>
      </w:r>
      <w:r>
        <w:rPr>
          <w:sz w:val="24"/>
          <w:szCs w:val="24"/>
          <w:lang w:val="en-US" w:eastAsia="zh-CN"/>
        </w:rPr>
        <w:t>844/2012</w:t>
      </w:r>
      <w:r>
        <w:rPr>
          <w:rFonts w:hint="eastAsia" w:ascii="宋体" w:hAnsi="宋体" w:eastAsia="宋体" w:cs="宋体"/>
          <w:sz w:val="24"/>
          <w:szCs w:val="24"/>
          <w:lang w:val="en-US" w:eastAsia="zh-CN"/>
        </w:rPr>
        <w:t>号执行法规</w:t>
      </w:r>
      <w:r>
        <w:rPr>
          <w:sz w:val="24"/>
          <w:szCs w:val="24"/>
          <w:lang w:val="en-US" w:eastAsia="zh-CN"/>
        </w:rPr>
        <w:t>(EU)</w:t>
      </w:r>
      <w:r>
        <w:rPr>
          <w:rFonts w:hint="eastAsia" w:ascii="宋体" w:hAnsi="宋体" w:eastAsia="宋体" w:cs="宋体"/>
          <w:sz w:val="24"/>
          <w:szCs w:val="24"/>
          <w:lang w:val="en-US" w:eastAsia="zh-CN"/>
        </w:rPr>
        <w:t>第</w:t>
      </w:r>
      <w:r>
        <w:rPr>
          <w:sz w:val="24"/>
          <w:szCs w:val="24"/>
          <w:lang w:val="en-US" w:eastAsia="zh-CN"/>
        </w:rPr>
        <w:t>6</w:t>
      </w:r>
      <w:r>
        <w:rPr>
          <w:rFonts w:hint="eastAsia" w:ascii="宋体" w:hAnsi="宋体" w:eastAsia="宋体" w:cs="宋体"/>
          <w:sz w:val="24"/>
          <w:szCs w:val="24"/>
          <w:lang w:val="en-US" w:eastAsia="zh-CN"/>
        </w:rPr>
        <w:t>条向报告员成员国、联合报告员成员国、欧盟委员会和欧洲食品安全局</w:t>
      </w:r>
      <w:r>
        <w:rPr>
          <w:sz w:val="24"/>
          <w:szCs w:val="24"/>
          <w:lang w:val="en-US" w:eastAsia="zh-CN"/>
        </w:rPr>
        <w:t>(“</w:t>
      </w:r>
      <w:r>
        <w:rPr>
          <w:rFonts w:hint="eastAsia" w:ascii="宋体" w:hAnsi="宋体" w:eastAsia="宋体" w:cs="宋体"/>
          <w:sz w:val="24"/>
          <w:szCs w:val="24"/>
          <w:lang w:val="en-US" w:eastAsia="zh-CN"/>
        </w:rPr>
        <w:t>管理局</w:t>
      </w:r>
      <w:r>
        <w:rPr>
          <w:sz w:val="24"/>
          <w:szCs w:val="24"/>
          <w:lang w:val="en-US" w:eastAsia="zh-CN"/>
        </w:rPr>
        <w:t>”)</w:t>
      </w:r>
      <w:r>
        <w:rPr>
          <w:rFonts w:hint="eastAsia" w:ascii="宋体" w:hAnsi="宋体" w:eastAsia="宋体" w:cs="宋体"/>
          <w:sz w:val="24"/>
          <w:szCs w:val="24"/>
          <w:lang w:val="en-US" w:eastAsia="zh-CN"/>
        </w:rPr>
        <w:t>提交了补充档案。</w:t>
      </w:r>
      <w:r>
        <w:rPr>
          <w:rFonts w:hint="eastAsia" w:ascii="宋体" w:hAnsi="宋体" w:eastAsia="宋体" w:cs="宋体"/>
          <w:sz w:val="24"/>
          <w:szCs w:val="24"/>
          <w:lang w:val="en-US"/>
        </w:rPr>
        <w:t>该申请被报告员成员国认定可受理。</w:t>
      </w:r>
    </w:p>
    <w:p w14:paraId="5AFF459A">
      <w:pPr>
        <w:pStyle w:val="8"/>
        <w:numPr>
          <w:ilvl w:val="0"/>
          <w:numId w:val="1"/>
        </w:numPr>
        <w:tabs>
          <w:tab w:val="left" w:pos="825"/>
        </w:tabs>
        <w:ind w:right="116"/>
        <w:jc w:val="both"/>
        <w:rPr>
          <w:sz w:val="24"/>
          <w:lang w:val="en-US" w:eastAsia="zh-CN"/>
        </w:rPr>
      </w:pPr>
      <w:r>
        <w:rPr>
          <w:rFonts w:hint="eastAsia" w:ascii="宋体" w:hAnsi="宋体" w:eastAsia="宋体" w:cs="宋体"/>
          <w:sz w:val="24"/>
          <w:szCs w:val="24"/>
          <w:lang w:val="en-US" w:eastAsia="zh-CN"/>
        </w:rPr>
        <w:t>报告员成员国与共同报告员成员国磋商后编写了续期评估报告草案，并于</w:t>
      </w:r>
      <w:r>
        <w:rPr>
          <w:sz w:val="24"/>
          <w:szCs w:val="24"/>
          <w:lang w:val="en-US" w:eastAsia="zh-CN"/>
        </w:rPr>
        <w:t>2017</w:t>
      </w:r>
      <w:r>
        <w:rPr>
          <w:rFonts w:hint="eastAsia" w:ascii="宋体" w:hAnsi="宋体" w:eastAsia="宋体" w:cs="宋体"/>
          <w:sz w:val="24"/>
          <w:szCs w:val="24"/>
          <w:lang w:val="en-US" w:eastAsia="zh-CN"/>
        </w:rPr>
        <w:t>年</w:t>
      </w:r>
      <w:r>
        <w:rPr>
          <w:sz w:val="24"/>
          <w:szCs w:val="24"/>
          <w:lang w:val="en-US" w:eastAsia="zh-CN"/>
        </w:rPr>
        <w:t>6</w:t>
      </w:r>
      <w:r>
        <w:rPr>
          <w:rFonts w:hint="eastAsia" w:ascii="宋体" w:hAnsi="宋体" w:eastAsia="宋体" w:cs="宋体"/>
          <w:sz w:val="24"/>
          <w:szCs w:val="24"/>
          <w:lang w:val="en-US" w:eastAsia="zh-CN"/>
        </w:rPr>
        <w:t>月</w:t>
      </w:r>
      <w:r>
        <w:rPr>
          <w:sz w:val="24"/>
          <w:szCs w:val="24"/>
          <w:lang w:val="en-US" w:eastAsia="zh-CN"/>
        </w:rPr>
        <w:t>7</w:t>
      </w:r>
      <w:r>
        <w:rPr>
          <w:rFonts w:hint="eastAsia" w:ascii="宋体" w:hAnsi="宋体" w:eastAsia="宋体" w:cs="宋体"/>
          <w:sz w:val="24"/>
          <w:szCs w:val="24"/>
          <w:lang w:val="en-US" w:eastAsia="zh-CN"/>
        </w:rPr>
        <w:t>日将其提交给管理局和委员会。在该续期评估报告草案中，报告员成员国提议不再续期氟唑草胺的批准。</w:t>
      </w:r>
    </w:p>
    <w:p w14:paraId="481752B8">
      <w:pPr>
        <w:pStyle w:val="8"/>
        <w:numPr>
          <w:ilvl w:val="0"/>
          <w:numId w:val="1"/>
        </w:numPr>
        <w:tabs>
          <w:tab w:val="left" w:pos="825"/>
        </w:tabs>
        <w:ind w:right="117"/>
        <w:jc w:val="both"/>
        <w:rPr>
          <w:lang w:eastAsia="zh-CN"/>
        </w:rPr>
      </w:pPr>
      <w:r>
        <w:rPr>
          <w:rFonts w:hint="eastAsia" w:ascii="宋体" w:hAnsi="宋体" w:eastAsia="宋体" w:cs="宋体"/>
          <w:sz w:val="24"/>
          <w:szCs w:val="24"/>
          <w:lang w:val="en-US" w:eastAsia="zh-CN"/>
        </w:rPr>
        <w:t>食品安全局向公众提供了补充摘要档案。食品安全局还向申请人和成员国分发了续期评估报告草案，征求意见，并就此展开了公众咨询。食品安全局将收到的评议意见转交给委员会。</w:t>
      </w:r>
    </w:p>
    <w:p w14:paraId="2484122C">
      <w:pPr>
        <w:pStyle w:val="8"/>
        <w:numPr>
          <w:ilvl w:val="0"/>
          <w:numId w:val="1"/>
        </w:numPr>
        <w:tabs>
          <w:tab w:val="left" w:pos="825"/>
        </w:tabs>
        <w:spacing w:before="121"/>
        <w:jc w:val="both"/>
        <w:rPr>
          <w:sz w:val="24"/>
          <w:lang w:val="en-US" w:eastAsia="zh-CN"/>
        </w:rPr>
      </w:pPr>
      <w:r>
        <w:rPr>
          <w:sz w:val="24"/>
          <w:szCs w:val="24"/>
          <w:lang w:val="en-US" w:eastAsia="zh-CN"/>
        </w:rPr>
        <w:t>2024</w:t>
      </w:r>
      <w:r>
        <w:rPr>
          <w:rFonts w:hint="eastAsia" w:ascii="宋体" w:hAnsi="宋体" w:eastAsia="宋体" w:cs="宋体"/>
          <w:sz w:val="24"/>
          <w:szCs w:val="24"/>
          <w:lang w:val="en-US" w:eastAsia="zh-CN"/>
        </w:rPr>
        <w:t>年</w:t>
      </w:r>
      <w:r>
        <w:rPr>
          <w:sz w:val="24"/>
          <w:szCs w:val="24"/>
          <w:lang w:val="en-US" w:eastAsia="zh-CN"/>
        </w:rPr>
        <w:t>8</w:t>
      </w:r>
      <w:r>
        <w:rPr>
          <w:rFonts w:hint="eastAsia" w:ascii="宋体" w:hAnsi="宋体" w:eastAsia="宋体" w:cs="宋体"/>
          <w:sz w:val="24"/>
          <w:szCs w:val="24"/>
          <w:lang w:val="en-US" w:eastAsia="zh-CN"/>
        </w:rPr>
        <w:t>月</w:t>
      </w:r>
      <w:r>
        <w:rPr>
          <w:sz w:val="24"/>
          <w:szCs w:val="24"/>
          <w:lang w:val="en-US" w:eastAsia="zh-CN"/>
        </w:rPr>
        <w:t>29</w:t>
      </w:r>
      <w:r>
        <w:rPr>
          <w:rFonts w:hint="eastAsia" w:ascii="宋体" w:hAnsi="宋体" w:eastAsia="宋体" w:cs="宋体"/>
          <w:sz w:val="24"/>
          <w:szCs w:val="24"/>
          <w:lang w:val="en-US" w:eastAsia="zh-CN"/>
        </w:rPr>
        <w:t>日，食品安全局向欧盟委员会通报了其关于氟噻草胺是否有望满足（</w:t>
      </w:r>
      <w:r>
        <w:rPr>
          <w:sz w:val="24"/>
          <w:szCs w:val="24"/>
          <w:lang w:val="en-US" w:eastAsia="zh-CN"/>
        </w:rPr>
        <w:t>EC</w:t>
      </w:r>
      <w:r>
        <w:rPr>
          <w:rFonts w:hint="eastAsia" w:ascii="宋体" w:hAnsi="宋体" w:eastAsia="宋体" w:cs="宋体"/>
          <w:sz w:val="24"/>
          <w:szCs w:val="24"/>
          <w:lang w:val="en-US" w:eastAsia="zh-CN"/>
        </w:rPr>
        <w:t>）第</w:t>
      </w:r>
      <w:r>
        <w:rPr>
          <w:sz w:val="24"/>
          <w:szCs w:val="24"/>
          <w:lang w:val="en-US" w:eastAsia="zh-CN"/>
        </w:rPr>
        <w:t>1107/2009</w:t>
      </w:r>
      <w:r>
        <w:rPr>
          <w:rFonts w:hint="eastAsia" w:ascii="宋体" w:hAnsi="宋体" w:eastAsia="宋体" w:cs="宋体"/>
          <w:sz w:val="24"/>
          <w:szCs w:val="24"/>
          <w:lang w:val="en-US" w:eastAsia="zh-CN"/>
        </w:rPr>
        <w:t>号法规第</w:t>
      </w:r>
      <w:r>
        <w:rPr>
          <w:sz w:val="24"/>
          <w:szCs w:val="24"/>
          <w:lang w:val="en-US" w:eastAsia="zh-CN"/>
        </w:rPr>
        <w:t>4</w:t>
      </w:r>
      <w:r>
        <w:rPr>
          <w:rFonts w:hint="eastAsia" w:ascii="宋体" w:hAnsi="宋体" w:eastAsia="宋体" w:cs="宋体"/>
          <w:sz w:val="24"/>
          <w:szCs w:val="24"/>
          <w:lang w:val="en-US" w:eastAsia="zh-CN"/>
        </w:rPr>
        <w:t>条规定的审批标准的结论</w:t>
      </w:r>
      <w:r>
        <w:rPr>
          <w:rFonts w:ascii="宋体" w:hAnsi="宋体" w:eastAsia="宋体" w:cs="宋体"/>
          <w:sz w:val="24"/>
          <w:szCs w:val="24"/>
          <w:vertAlign w:val="superscript"/>
          <w:lang w:val="en-US" w:eastAsia="zh-CN"/>
        </w:rPr>
        <w:t>7</w:t>
      </w:r>
      <w:r>
        <w:rPr>
          <w:rFonts w:hint="eastAsia" w:ascii="宋体" w:hAnsi="宋体" w:eastAsia="宋体" w:cs="宋体"/>
          <w:sz w:val="24"/>
          <w:szCs w:val="24"/>
          <w:lang w:val="en-US" w:eastAsia="zh-CN"/>
        </w:rPr>
        <w:t>。</w:t>
      </w:r>
    </w:p>
    <w:p w14:paraId="5C19056E">
      <w:pPr>
        <w:pStyle w:val="8"/>
        <w:numPr>
          <w:ilvl w:val="0"/>
          <w:numId w:val="1"/>
        </w:numPr>
        <w:tabs>
          <w:tab w:val="left" w:pos="825"/>
        </w:tabs>
        <w:ind w:right="109"/>
        <w:jc w:val="both"/>
        <w:rPr>
          <w:sz w:val="24"/>
          <w:lang w:val="en-US" w:eastAsia="zh-CN"/>
        </w:rPr>
      </w:pPr>
      <w:r>
        <w:rPr>
          <w:rFonts w:hint="eastAsia" w:ascii="宋体" w:hAnsi="宋体" w:eastAsia="宋体" w:cs="宋体"/>
          <w:sz w:val="24"/>
          <w:szCs w:val="24"/>
          <w:lang w:val="en-US" w:eastAsia="zh-CN"/>
        </w:rPr>
        <w:t>管理局确定了几个令人关切的问题。特别是，它得出结论，氟噻草胺符合被确定为人类和非目标生物甲状腺（</w:t>
      </w:r>
      <w:r>
        <w:rPr>
          <w:sz w:val="24"/>
          <w:szCs w:val="24"/>
          <w:lang w:val="en-US" w:eastAsia="zh-CN"/>
        </w:rPr>
        <w:t>T</w:t>
      </w:r>
      <w:r>
        <w:rPr>
          <w:rFonts w:hint="eastAsia" w:ascii="宋体" w:hAnsi="宋体" w:eastAsia="宋体" w:cs="宋体"/>
          <w:sz w:val="24"/>
          <w:szCs w:val="24"/>
          <w:lang w:val="en-US" w:eastAsia="zh-CN"/>
        </w:rPr>
        <w:t>）型内分泌干扰物的标准，并且尚未证明在现实的拟议使用条件下，人类和非目标生物对植物保护产品中该活性物质的暴露是可忽略的。</w:t>
      </w:r>
    </w:p>
    <w:p w14:paraId="6D0B00F8">
      <w:pPr>
        <w:pStyle w:val="8"/>
        <w:numPr>
          <w:ilvl w:val="0"/>
          <w:numId w:val="1"/>
        </w:numPr>
        <w:tabs>
          <w:tab w:val="left" w:pos="825"/>
        </w:tabs>
        <w:ind w:right="113"/>
        <w:jc w:val="both"/>
        <w:rPr>
          <w:sz w:val="24"/>
          <w:lang w:val="en-US" w:eastAsia="zh-CN"/>
        </w:rPr>
      </w:pPr>
      <w:r>
        <w:rPr>
          <w:sz w:val="24"/>
          <w:szCs w:val="24"/>
          <w:lang w:val="en-US" w:eastAsia="zh-CN"/>
        </w:rPr>
        <w:t>EFSA</w:t>
      </w:r>
      <w:r>
        <w:rPr>
          <w:rFonts w:hint="eastAsia" w:ascii="宋体" w:hAnsi="宋体" w:eastAsia="宋体" w:cs="宋体"/>
          <w:sz w:val="24"/>
          <w:szCs w:val="24"/>
          <w:lang w:val="en-US" w:eastAsia="zh-CN"/>
        </w:rPr>
        <w:t>还确定了氟噻草胺代谢物三氟乙酸（</w:t>
      </w:r>
      <w:r>
        <w:rPr>
          <w:sz w:val="24"/>
          <w:szCs w:val="24"/>
          <w:lang w:val="en-US" w:eastAsia="zh-CN"/>
        </w:rPr>
        <w:t>“TFA”</w:t>
      </w:r>
      <w:r>
        <w:rPr>
          <w:rFonts w:hint="eastAsia" w:ascii="宋体" w:hAnsi="宋体" w:eastAsia="宋体" w:cs="宋体"/>
          <w:sz w:val="24"/>
          <w:szCs w:val="24"/>
          <w:lang w:val="en-US" w:eastAsia="zh-CN"/>
        </w:rPr>
        <w:t>）污染地下水的可能性，其水平显著超过欧洲议会和理事会指令</w:t>
      </w:r>
      <w:r>
        <w:rPr>
          <w:sz w:val="24"/>
          <w:szCs w:val="24"/>
          <w:lang w:val="en-US" w:eastAsia="zh-CN"/>
        </w:rPr>
        <w:t>2006/118/EC</w:t>
      </w:r>
      <w:r>
        <w:rPr>
          <w:sz w:val="24"/>
          <w:szCs w:val="24"/>
          <w:vertAlign w:val="superscript"/>
          <w:lang w:val="en-US" w:eastAsia="zh-CN"/>
        </w:rPr>
        <w:t>8</w:t>
      </w:r>
      <w:r>
        <w:rPr>
          <w:rFonts w:hint="eastAsia" w:ascii="宋体" w:hAnsi="宋体" w:eastAsia="宋体" w:cs="宋体"/>
          <w:sz w:val="24"/>
          <w:szCs w:val="24"/>
          <w:lang w:val="en-US" w:eastAsia="zh-CN"/>
        </w:rPr>
        <w:t>附件</w:t>
      </w:r>
      <w:r>
        <w:rPr>
          <w:sz w:val="24"/>
          <w:szCs w:val="24"/>
          <w:lang w:val="en-US" w:eastAsia="zh-CN"/>
        </w:rPr>
        <w:t>I</w:t>
      </w:r>
      <w:r>
        <w:rPr>
          <w:rFonts w:hint="eastAsia" w:ascii="宋体" w:hAnsi="宋体" w:eastAsia="宋体" w:cs="宋体"/>
          <w:sz w:val="24"/>
          <w:szCs w:val="24"/>
          <w:lang w:val="en-US" w:eastAsia="zh-CN"/>
        </w:rPr>
        <w:t>第</w:t>
      </w:r>
      <w:r>
        <w:rPr>
          <w:sz w:val="24"/>
          <w:szCs w:val="24"/>
          <w:lang w:val="en-US" w:eastAsia="zh-CN"/>
        </w:rPr>
        <w:t>1</w:t>
      </w:r>
      <w:r>
        <w:rPr>
          <w:rFonts w:hint="eastAsia" w:ascii="宋体" w:hAnsi="宋体" w:eastAsia="宋体" w:cs="宋体"/>
          <w:sz w:val="24"/>
          <w:szCs w:val="24"/>
          <w:lang w:val="en-US" w:eastAsia="zh-CN"/>
        </w:rPr>
        <w:t>点规定的</w:t>
      </w:r>
      <w:r>
        <w:rPr>
          <w:sz w:val="24"/>
          <w:szCs w:val="24"/>
          <w:lang w:val="en-US" w:eastAsia="zh-CN"/>
        </w:rPr>
        <w:t xml:space="preserve">0.1 </w:t>
      </w:r>
      <w:r>
        <w:rPr>
          <w:sz w:val="24"/>
          <w:szCs w:val="24"/>
          <w:lang w:val="en-US"/>
        </w:rPr>
        <w:t>μ</w:t>
      </w:r>
      <w:r>
        <w:rPr>
          <w:sz w:val="24"/>
          <w:szCs w:val="24"/>
          <w:lang w:val="en-US" w:eastAsia="zh-CN"/>
        </w:rPr>
        <w:t xml:space="preserve"> g/l</w:t>
      </w:r>
      <w:r>
        <w:rPr>
          <w:rFonts w:hint="eastAsia" w:ascii="宋体" w:hAnsi="宋体" w:eastAsia="宋体" w:cs="宋体"/>
          <w:sz w:val="24"/>
          <w:szCs w:val="24"/>
          <w:lang w:val="en-US" w:eastAsia="zh-CN"/>
        </w:rPr>
        <w:t>的法定限值，在所有相关地下水评估方案下，对所有代表性用途进行评估。该限量适用于法规</w:t>
      </w:r>
      <w:r>
        <w:rPr>
          <w:sz w:val="24"/>
          <w:szCs w:val="24"/>
          <w:lang w:val="en-US" w:eastAsia="zh-CN"/>
        </w:rPr>
        <w:t>(EC)No1107/2009</w:t>
      </w:r>
      <w:r>
        <w:rPr>
          <w:rFonts w:hint="eastAsia" w:ascii="宋体" w:hAnsi="宋体" w:eastAsia="宋体" w:cs="宋体"/>
          <w:sz w:val="24"/>
          <w:szCs w:val="24"/>
          <w:lang w:val="en-US" w:eastAsia="zh-CN"/>
        </w:rPr>
        <w:t>第</w:t>
      </w:r>
      <w:r>
        <w:rPr>
          <w:sz w:val="24"/>
          <w:szCs w:val="24"/>
          <w:lang w:val="en-US" w:eastAsia="zh-CN"/>
        </w:rPr>
        <w:t>3(32)</w:t>
      </w:r>
      <w:r>
        <w:rPr>
          <w:rFonts w:hint="eastAsia" w:ascii="宋体" w:hAnsi="宋体" w:eastAsia="宋体" w:cs="宋体"/>
          <w:sz w:val="24"/>
          <w:szCs w:val="24"/>
          <w:lang w:val="en-US" w:eastAsia="zh-CN"/>
        </w:rPr>
        <w:t>条定义的毒理学相关代谢物，并符合第</w:t>
      </w:r>
      <w:r>
        <w:rPr>
          <w:sz w:val="24"/>
          <w:szCs w:val="24"/>
          <w:lang w:val="en-US" w:eastAsia="zh-CN"/>
        </w:rPr>
        <w:t>2.5.1.2</w:t>
      </w:r>
      <w:r>
        <w:rPr>
          <w:rFonts w:hint="eastAsia" w:ascii="宋体" w:hAnsi="宋体" w:eastAsia="宋体" w:cs="宋体"/>
          <w:sz w:val="24"/>
          <w:szCs w:val="24"/>
          <w:lang w:val="en-US" w:eastAsia="zh-CN"/>
        </w:rPr>
        <w:t>点。欧盟委员会法规</w:t>
      </w:r>
      <w:r>
        <w:rPr>
          <w:sz w:val="24"/>
          <w:szCs w:val="24"/>
          <w:lang w:val="en-US" w:eastAsia="zh-CN"/>
        </w:rPr>
        <w:t>(EU)No546/2011</w:t>
      </w:r>
      <w:r>
        <w:rPr>
          <w:sz w:val="24"/>
          <w:szCs w:val="24"/>
          <w:vertAlign w:val="superscript"/>
          <w:lang w:val="en-US" w:eastAsia="zh-CN"/>
        </w:rPr>
        <w:t>9</w:t>
      </w:r>
      <w:r>
        <w:rPr>
          <w:rFonts w:hint="eastAsia" w:ascii="宋体" w:hAnsi="宋体" w:eastAsia="宋体" w:cs="宋体"/>
          <w:sz w:val="24"/>
          <w:szCs w:val="24"/>
          <w:lang w:val="en-US" w:eastAsia="zh-CN"/>
        </w:rPr>
        <w:t>附件中化学植物保护产品评估和授权统一原则</w:t>
      </w:r>
      <w:r>
        <w:rPr>
          <w:sz w:val="24"/>
          <w:szCs w:val="24"/>
          <w:lang w:val="en-US" w:eastAsia="zh-CN"/>
        </w:rPr>
        <w:t>A</w:t>
      </w:r>
      <w:r>
        <w:rPr>
          <w:rFonts w:hint="eastAsia" w:ascii="宋体" w:hAnsi="宋体" w:eastAsia="宋体" w:cs="宋体"/>
          <w:sz w:val="24"/>
          <w:szCs w:val="24"/>
          <w:lang w:val="en-US" w:eastAsia="zh-CN"/>
        </w:rPr>
        <w:t>部分第</w:t>
      </w:r>
      <w:r>
        <w:rPr>
          <w:sz w:val="24"/>
          <w:szCs w:val="24"/>
          <w:lang w:val="en-US" w:eastAsia="zh-CN"/>
        </w:rPr>
        <w:t>(i)</w:t>
      </w:r>
      <w:r>
        <w:rPr>
          <w:rFonts w:hint="eastAsia" w:ascii="宋体" w:hAnsi="宋体" w:eastAsia="宋体" w:cs="宋体"/>
          <w:sz w:val="24"/>
          <w:szCs w:val="24"/>
          <w:lang w:val="en-US" w:eastAsia="zh-CN"/>
        </w:rPr>
        <w:t>条。</w:t>
      </w:r>
    </w:p>
    <w:p w14:paraId="418F6A28">
      <w:pPr>
        <w:pStyle w:val="2"/>
        <w:ind w:left="824" w:right="114"/>
        <w:jc w:val="both"/>
        <w:rPr>
          <w:lang w:val="en-US" w:eastAsia="zh-CN"/>
        </w:rPr>
      </w:pPr>
      <w:r>
        <w:rPr>
          <w:rFonts w:hint="eastAsia" w:ascii="宋体" w:hAnsi="宋体" w:eastAsia="宋体" w:cs="宋体"/>
          <w:lang w:val="en-US" w:eastAsia="zh-CN"/>
        </w:rPr>
        <w:t>关于该代谢物的固有毒理学特性，值得注意的是，</w:t>
      </w:r>
      <w:r>
        <w:rPr>
          <w:lang w:val="en-US" w:eastAsia="zh-CN"/>
        </w:rPr>
        <w:t>TFA</w:t>
      </w:r>
      <w:r>
        <w:rPr>
          <w:rFonts w:hint="eastAsia" w:ascii="宋体" w:hAnsi="宋体" w:eastAsia="宋体" w:cs="宋体"/>
          <w:lang w:val="en-US" w:eastAsia="zh-CN"/>
        </w:rPr>
        <w:t>及其盐类的一些注册人根据欧洲共同体法规</w:t>
      </w:r>
      <w:r>
        <w:rPr>
          <w:lang w:val="en-US" w:eastAsia="zh-CN"/>
        </w:rPr>
        <w:t>(EC)No1907/2006</w:t>
      </w:r>
    </w:p>
    <w:p w14:paraId="07076F48">
      <w:pPr>
        <w:pStyle w:val="2"/>
        <w:spacing w:before="9"/>
        <w:rPr>
          <w:sz w:val="19"/>
          <w:lang w:val="en-US" w:eastAsia="zh-CN"/>
        </w:rPr>
      </w:pPr>
      <w:r>
        <w:pict>
          <v:rect id="docshape7" o:spid="_x0000_s2052" o:spt="1" style="position:absolute;left:0pt;margin-left:70.8pt;margin-top:12.6pt;height:0.6pt;width:144pt;mso-position-horizontal-relative:page;mso-wrap-distance-bottom:0pt;mso-wrap-distance-top:0pt;z-index:-251652096;mso-width-relative:page;mso-height-relative:page;" fillcolor="#000000" filled="t" stroked="f" coordsize="21600,21600">
            <v:path/>
            <v:fill on="t" focussize="0,0"/>
            <v:stroke on="f"/>
            <v:imagedata o:title=""/>
            <o:lock v:ext="edit"/>
            <w10:wrap type="topAndBottom"/>
          </v:rect>
        </w:pict>
      </w:r>
    </w:p>
    <w:p w14:paraId="56EF134D">
      <w:pPr>
        <w:tabs>
          <w:tab w:val="left" w:pos="836"/>
        </w:tabs>
        <w:spacing w:before="103"/>
        <w:ind w:left="836" w:right="112" w:hanging="720"/>
        <w:jc w:val="both"/>
        <w:rPr>
          <w:sz w:val="20"/>
          <w:lang w:val="en-US" w:eastAsia="zh-CN"/>
        </w:rPr>
      </w:pPr>
      <w:r>
        <w:rPr>
          <w:spacing w:val="-10"/>
          <w:sz w:val="20"/>
          <w:vertAlign w:val="superscript"/>
          <w:lang w:val="en-US" w:eastAsia="zh-CN"/>
        </w:rPr>
        <w:t>6</w:t>
      </w:r>
      <w:r>
        <w:rPr>
          <w:sz w:val="20"/>
          <w:lang w:val="en-US" w:eastAsia="zh-CN"/>
        </w:rPr>
        <w:tab/>
      </w:r>
      <w:r>
        <w:rPr>
          <w:sz w:val="20"/>
          <w:szCs w:val="20"/>
          <w:lang w:val="en-US" w:eastAsia="zh-CN"/>
        </w:rPr>
        <w:t>2020</w:t>
      </w:r>
      <w:r>
        <w:rPr>
          <w:rFonts w:hint="eastAsia" w:ascii="宋体" w:hAnsi="宋体" w:eastAsia="宋体" w:cs="宋体"/>
          <w:sz w:val="20"/>
          <w:szCs w:val="20"/>
          <w:lang w:val="en-US" w:eastAsia="zh-CN"/>
        </w:rPr>
        <w:t>年</w:t>
      </w:r>
      <w:r>
        <w:rPr>
          <w:sz w:val="20"/>
          <w:szCs w:val="20"/>
          <w:lang w:val="en-US" w:eastAsia="zh-CN"/>
        </w:rPr>
        <w:t>11</w:t>
      </w:r>
      <w:r>
        <w:rPr>
          <w:rFonts w:hint="eastAsia" w:ascii="宋体" w:hAnsi="宋体" w:eastAsia="宋体" w:cs="宋体"/>
          <w:sz w:val="20"/>
          <w:szCs w:val="20"/>
          <w:lang w:val="en-US" w:eastAsia="zh-CN"/>
        </w:rPr>
        <w:t>月</w:t>
      </w:r>
      <w:r>
        <w:rPr>
          <w:sz w:val="20"/>
          <w:szCs w:val="20"/>
          <w:lang w:val="en-US" w:eastAsia="zh-CN"/>
        </w:rPr>
        <w:t>20</w:t>
      </w:r>
      <w:r>
        <w:rPr>
          <w:rFonts w:hint="eastAsia" w:ascii="宋体" w:hAnsi="宋体" w:eastAsia="宋体" w:cs="宋体"/>
          <w:sz w:val="20"/>
          <w:szCs w:val="20"/>
          <w:lang w:val="en-US" w:eastAsia="zh-CN"/>
        </w:rPr>
        <w:t>日欧盟委员会法规实施细则</w:t>
      </w:r>
      <w:r>
        <w:rPr>
          <w:sz w:val="20"/>
          <w:szCs w:val="20"/>
          <w:lang w:val="en-US" w:eastAsia="zh-CN"/>
        </w:rPr>
        <w:t>(EU)2020/1740</w:t>
      </w:r>
      <w:r>
        <w:rPr>
          <w:rFonts w:hint="eastAsia" w:ascii="宋体" w:hAnsi="宋体" w:eastAsia="宋体" w:cs="宋体"/>
          <w:sz w:val="20"/>
          <w:szCs w:val="20"/>
          <w:lang w:val="en-US" w:eastAsia="zh-CN"/>
        </w:rPr>
        <w:t>规定了实施欧洲议会和欧盟理事会法规</w:t>
      </w:r>
      <w:r>
        <w:rPr>
          <w:sz w:val="20"/>
          <w:szCs w:val="20"/>
          <w:lang w:val="en-US" w:eastAsia="zh-CN"/>
        </w:rPr>
        <w:t>(EC)No1107/2009</w:t>
      </w:r>
      <w:r>
        <w:rPr>
          <w:rFonts w:hint="eastAsia" w:ascii="宋体" w:hAnsi="宋体" w:eastAsia="宋体" w:cs="宋体"/>
          <w:sz w:val="20"/>
          <w:szCs w:val="20"/>
          <w:lang w:val="en-US" w:eastAsia="zh-CN"/>
        </w:rPr>
        <w:t>规定的活性物质更新程序所需的规定，并废除欧盟委员会法规实施细则</w:t>
      </w:r>
      <w:r>
        <w:rPr>
          <w:sz w:val="20"/>
          <w:szCs w:val="20"/>
          <w:lang w:val="en-US" w:eastAsia="zh-CN"/>
        </w:rPr>
        <w:t>(EU)No844/2012</w:t>
      </w:r>
      <w:r>
        <w:rPr>
          <w:rFonts w:hint="eastAsia" w:ascii="宋体" w:hAnsi="宋体" w:eastAsia="宋体" w:cs="宋体"/>
          <w:sz w:val="20"/>
          <w:szCs w:val="20"/>
          <w:lang w:val="en-US" w:eastAsia="zh-CN"/>
        </w:rPr>
        <w:t>（</w:t>
      </w:r>
      <w:r>
        <w:rPr>
          <w:sz w:val="20"/>
          <w:szCs w:val="20"/>
          <w:lang w:val="en-US" w:eastAsia="zh-CN"/>
        </w:rPr>
        <w:t>OJL392,23.11.20 20,p.20,ELI</w:t>
      </w:r>
      <w:r>
        <w:rPr>
          <w:rFonts w:hint="eastAsia" w:ascii="宋体" w:hAnsi="宋体" w:eastAsia="宋体" w:cs="宋体"/>
          <w:sz w:val="20"/>
          <w:szCs w:val="20"/>
          <w:lang w:val="en-US" w:eastAsia="zh-CN"/>
        </w:rPr>
        <w:t>：</w:t>
      </w:r>
      <w:r>
        <w:fldChar w:fldCharType="begin"/>
      </w:r>
      <w:r>
        <w:instrText xml:space="preserve"> HYPERLINK "http://data.europa.eu/eli/reg_impl/2020/1740/oj" \h </w:instrText>
      </w:r>
      <w:r>
        <w:fldChar w:fldCharType="separate"/>
      </w:r>
      <w:r>
        <w:rPr>
          <w:color w:val="0000FF"/>
          <w:spacing w:val="-2"/>
          <w:sz w:val="20"/>
          <w:u w:val="single" w:color="0000FF"/>
          <w:lang w:val="en-US" w:eastAsia="zh-CN"/>
        </w:rPr>
        <w:t>http://data.europa.eu/eli/reg_impl/2020/1740/oj</w:t>
      </w:r>
      <w:r>
        <w:rPr>
          <w:color w:val="0000FF"/>
          <w:spacing w:val="-2"/>
          <w:sz w:val="20"/>
          <w:u w:val="single" w:color="0000FF"/>
          <w:lang w:val="en-US" w:eastAsia="zh-CN"/>
        </w:rPr>
        <w:fldChar w:fldCharType="end"/>
      </w:r>
      <w:r>
        <w:rPr>
          <w:spacing w:val="-2"/>
          <w:sz w:val="20"/>
          <w:lang w:val="en-US" w:eastAsia="zh-CN"/>
        </w:rPr>
        <w:t>).</w:t>
      </w:r>
    </w:p>
    <w:p w14:paraId="72DC839C">
      <w:pPr>
        <w:tabs>
          <w:tab w:val="left" w:pos="836"/>
        </w:tabs>
        <w:ind w:left="836" w:right="117" w:hanging="720"/>
        <w:jc w:val="both"/>
        <w:rPr>
          <w:sz w:val="20"/>
          <w:lang w:val="en-US" w:eastAsia="zh-CN"/>
        </w:rPr>
      </w:pPr>
      <w:r>
        <w:rPr>
          <w:spacing w:val="-10"/>
          <w:sz w:val="20"/>
          <w:vertAlign w:val="superscript"/>
          <w:lang w:val="en-US" w:eastAsia="zh-CN"/>
        </w:rPr>
        <w:t>7</w:t>
      </w:r>
      <w:r>
        <w:rPr>
          <w:sz w:val="20"/>
          <w:lang w:val="en-US" w:eastAsia="zh-CN"/>
        </w:rPr>
        <w:tab/>
      </w:r>
      <w:r>
        <w:rPr>
          <w:sz w:val="20"/>
          <w:szCs w:val="20"/>
          <w:lang w:val="en-US" w:eastAsia="zh-CN"/>
        </w:rPr>
        <w:t>EFSA</w:t>
      </w:r>
      <w:r>
        <w:rPr>
          <w:rFonts w:hint="eastAsia" w:ascii="宋体" w:hAnsi="宋体" w:eastAsia="宋体" w:cs="宋体"/>
          <w:sz w:val="20"/>
          <w:szCs w:val="20"/>
          <w:lang w:val="en-US" w:eastAsia="zh-CN"/>
        </w:rPr>
        <w:t>（欧洲食品安全局），</w:t>
      </w:r>
      <w:r>
        <w:rPr>
          <w:sz w:val="20"/>
          <w:szCs w:val="20"/>
          <w:lang w:val="en-US" w:eastAsia="zh-CN"/>
        </w:rPr>
        <w:t>2024</w:t>
      </w:r>
      <w:r>
        <w:rPr>
          <w:rFonts w:hint="eastAsia" w:ascii="宋体" w:hAnsi="宋体" w:eastAsia="宋体" w:cs="宋体"/>
          <w:sz w:val="20"/>
          <w:szCs w:val="20"/>
          <w:lang w:val="en-US" w:eastAsia="zh-CN"/>
        </w:rPr>
        <w:t>年。活性物质氟噻草胺农药风险评估的同行评审。欧洲食品安全局期刊</w:t>
      </w:r>
      <w:r>
        <w:rPr>
          <w:sz w:val="20"/>
          <w:szCs w:val="20"/>
          <w:lang w:val="en-US" w:eastAsia="zh-CN"/>
        </w:rPr>
        <w:t>2024;22(9):8997</w:t>
      </w:r>
      <w:r>
        <w:fldChar w:fldCharType="begin"/>
      </w:r>
      <w:r>
        <w:instrText xml:space="preserve"> HYPERLINK "https://doi.org/10.2903/j.efsa.2024.8997" \h </w:instrText>
      </w:r>
      <w:r>
        <w:fldChar w:fldCharType="separate"/>
      </w:r>
      <w:r>
        <w:rPr>
          <w:color w:val="0000FF"/>
          <w:sz w:val="20"/>
          <w:u w:val="single" w:color="0000FF"/>
          <w:lang w:val="en-US" w:eastAsia="zh-CN"/>
        </w:rPr>
        <w:t>https://doi.org/10.2903/j.efsa.2024.8997</w:t>
      </w:r>
      <w:r>
        <w:rPr>
          <w:sz w:val="20"/>
          <w:lang w:val="en-US" w:eastAsia="zh-CN"/>
        </w:rPr>
        <w:t>.</w:t>
      </w:r>
      <w:r>
        <w:rPr>
          <w:sz w:val="20"/>
          <w:lang w:val="en-US" w:eastAsia="zh-CN"/>
        </w:rPr>
        <w:fldChar w:fldCharType="end"/>
      </w:r>
    </w:p>
    <w:p w14:paraId="5EBB9271">
      <w:pPr>
        <w:tabs>
          <w:tab w:val="left" w:pos="836"/>
        </w:tabs>
        <w:spacing w:before="1"/>
        <w:ind w:left="836" w:right="123" w:hanging="720"/>
        <w:jc w:val="both"/>
        <w:rPr>
          <w:sz w:val="20"/>
          <w:lang w:val="en-US" w:eastAsia="zh-CN"/>
        </w:rPr>
      </w:pPr>
      <w:r>
        <w:rPr>
          <w:spacing w:val="-10"/>
          <w:sz w:val="20"/>
          <w:vertAlign w:val="superscript"/>
          <w:lang w:val="en-US" w:eastAsia="zh-CN"/>
        </w:rPr>
        <w:t>8</w:t>
      </w:r>
      <w:r>
        <w:rPr>
          <w:sz w:val="20"/>
          <w:lang w:val="en-US" w:eastAsia="zh-CN"/>
        </w:rPr>
        <w:tab/>
      </w:r>
      <w:r>
        <w:rPr>
          <w:sz w:val="20"/>
          <w:szCs w:val="20"/>
          <w:lang w:val="en-US" w:eastAsia="zh-CN"/>
        </w:rPr>
        <w:t>2006</w:t>
      </w:r>
      <w:r>
        <w:rPr>
          <w:rFonts w:hint="eastAsia" w:ascii="宋体" w:hAnsi="宋体" w:eastAsia="宋体" w:cs="宋体"/>
          <w:sz w:val="20"/>
          <w:szCs w:val="20"/>
          <w:lang w:val="en-US" w:eastAsia="zh-CN"/>
        </w:rPr>
        <w:t>年</w:t>
      </w:r>
      <w:r>
        <w:rPr>
          <w:sz w:val="20"/>
          <w:szCs w:val="20"/>
          <w:lang w:val="en-US" w:eastAsia="zh-CN"/>
        </w:rPr>
        <w:t>12</w:t>
      </w:r>
      <w:r>
        <w:rPr>
          <w:rFonts w:hint="eastAsia" w:ascii="宋体" w:hAnsi="宋体" w:eastAsia="宋体" w:cs="宋体"/>
          <w:sz w:val="20"/>
          <w:szCs w:val="20"/>
          <w:lang w:val="en-US" w:eastAsia="zh-CN"/>
        </w:rPr>
        <w:t>月</w:t>
      </w:r>
      <w:r>
        <w:rPr>
          <w:sz w:val="20"/>
          <w:szCs w:val="20"/>
          <w:lang w:val="en-US" w:eastAsia="zh-CN"/>
        </w:rPr>
        <w:t>12</w:t>
      </w:r>
      <w:r>
        <w:rPr>
          <w:rFonts w:hint="eastAsia" w:ascii="宋体" w:hAnsi="宋体" w:eastAsia="宋体" w:cs="宋体"/>
          <w:sz w:val="20"/>
          <w:szCs w:val="20"/>
          <w:lang w:val="en-US" w:eastAsia="zh-CN"/>
        </w:rPr>
        <w:t>日欧洲议会和理事会关于保护地下水免受污染和恶化的指令</w:t>
      </w:r>
      <w:r>
        <w:rPr>
          <w:sz w:val="20"/>
          <w:szCs w:val="20"/>
          <w:lang w:val="en-US" w:eastAsia="zh-CN"/>
        </w:rPr>
        <w:t>2006/118/EC(OJL372,27.12.20 06,p.19,ELI:</w:t>
      </w:r>
      <w:r>
        <w:fldChar w:fldCharType="begin"/>
      </w:r>
      <w:r>
        <w:instrText xml:space="preserve"> HYPERLINK "http://data.europa.eu/eli/dir/2006/118/oj" \h </w:instrText>
      </w:r>
      <w:r>
        <w:fldChar w:fldCharType="separate"/>
      </w:r>
      <w:r>
        <w:rPr>
          <w:color w:val="0000FF"/>
          <w:spacing w:val="-2"/>
          <w:sz w:val="20"/>
          <w:u w:val="single" w:color="0000FF"/>
          <w:lang w:val="en-US" w:eastAsia="zh-CN"/>
        </w:rPr>
        <w:t>http://data.europa.eu/eli/dir/2006/118/oj</w:t>
      </w:r>
      <w:r>
        <w:rPr>
          <w:color w:val="0000FF"/>
          <w:spacing w:val="-2"/>
          <w:sz w:val="20"/>
          <w:u w:val="single" w:color="0000FF"/>
          <w:lang w:val="en-US" w:eastAsia="zh-CN"/>
        </w:rPr>
        <w:fldChar w:fldCharType="end"/>
      </w:r>
      <w:r>
        <w:rPr>
          <w:spacing w:val="-2"/>
          <w:sz w:val="20"/>
          <w:lang w:val="en-US" w:eastAsia="zh-CN"/>
        </w:rPr>
        <w:t>).</w:t>
      </w:r>
    </w:p>
    <w:p w14:paraId="3FEFDB2F">
      <w:pPr>
        <w:tabs>
          <w:tab w:val="left" w:pos="836"/>
        </w:tabs>
        <w:ind w:left="836" w:right="116" w:hanging="720"/>
        <w:jc w:val="both"/>
        <w:rPr>
          <w:sz w:val="20"/>
          <w:lang w:val="en-US" w:eastAsia="zh-CN"/>
        </w:rPr>
      </w:pPr>
      <w:r>
        <w:rPr>
          <w:spacing w:val="-10"/>
          <w:sz w:val="20"/>
          <w:vertAlign w:val="superscript"/>
          <w:lang w:val="en-US" w:eastAsia="zh-CN"/>
        </w:rPr>
        <w:t>9</w:t>
      </w:r>
      <w:r>
        <w:rPr>
          <w:sz w:val="20"/>
          <w:lang w:val="en-US" w:eastAsia="zh-CN"/>
        </w:rPr>
        <w:tab/>
      </w:r>
      <w:r>
        <w:rPr>
          <w:sz w:val="20"/>
          <w:szCs w:val="20"/>
          <w:lang w:val="en-US" w:eastAsia="zh-CN"/>
        </w:rPr>
        <w:t>2011</w:t>
      </w:r>
      <w:r>
        <w:rPr>
          <w:rFonts w:hint="eastAsia" w:ascii="宋体" w:hAnsi="宋体" w:eastAsia="宋体" w:cs="宋体"/>
          <w:sz w:val="20"/>
          <w:szCs w:val="20"/>
          <w:lang w:val="en-US" w:eastAsia="zh-CN"/>
        </w:rPr>
        <w:t>年</w:t>
      </w:r>
      <w:r>
        <w:rPr>
          <w:sz w:val="20"/>
          <w:szCs w:val="20"/>
          <w:lang w:val="en-US" w:eastAsia="zh-CN"/>
        </w:rPr>
        <w:t>6</w:t>
      </w:r>
      <w:r>
        <w:rPr>
          <w:rFonts w:hint="eastAsia" w:ascii="宋体" w:hAnsi="宋体" w:eastAsia="宋体" w:cs="宋体"/>
          <w:sz w:val="20"/>
          <w:szCs w:val="20"/>
          <w:lang w:val="en-US" w:eastAsia="zh-CN"/>
        </w:rPr>
        <w:t>月</w:t>
      </w:r>
      <w:r>
        <w:rPr>
          <w:sz w:val="20"/>
          <w:szCs w:val="20"/>
          <w:lang w:val="en-US" w:eastAsia="zh-CN"/>
        </w:rPr>
        <w:t>10</w:t>
      </w:r>
      <w:r>
        <w:rPr>
          <w:rFonts w:hint="eastAsia" w:ascii="宋体" w:hAnsi="宋体" w:eastAsia="宋体" w:cs="宋体"/>
          <w:sz w:val="20"/>
          <w:szCs w:val="20"/>
          <w:lang w:val="en-US" w:eastAsia="zh-CN"/>
        </w:rPr>
        <w:t>日欧盟委员会法规</w:t>
      </w:r>
      <w:r>
        <w:rPr>
          <w:sz w:val="20"/>
          <w:szCs w:val="20"/>
          <w:lang w:val="en-US" w:eastAsia="zh-CN"/>
        </w:rPr>
        <w:t>(EU)No546/2011</w:t>
      </w:r>
      <w:r>
        <w:rPr>
          <w:rFonts w:hint="eastAsia" w:ascii="宋体" w:hAnsi="宋体" w:eastAsia="宋体" w:cs="宋体"/>
          <w:sz w:val="20"/>
          <w:szCs w:val="20"/>
          <w:lang w:val="en-US" w:eastAsia="zh-CN"/>
        </w:rPr>
        <w:t>执行欧洲议会和理事会法规</w:t>
      </w:r>
      <w:r>
        <w:rPr>
          <w:sz w:val="20"/>
          <w:szCs w:val="20"/>
          <w:lang w:val="en-US" w:eastAsia="zh-CN"/>
        </w:rPr>
        <w:t>(EC)No1107/2009</w:t>
      </w:r>
      <w:r>
        <w:rPr>
          <w:rFonts w:hint="eastAsia" w:ascii="宋体" w:hAnsi="宋体" w:eastAsia="宋体" w:cs="宋体"/>
          <w:sz w:val="20"/>
          <w:szCs w:val="20"/>
          <w:lang w:val="en-US" w:eastAsia="zh-CN"/>
        </w:rPr>
        <w:t>关于植物保护产品评估和授权统一原则的法规，与欧洲经济区相关的文本</w:t>
      </w:r>
      <w:r>
        <w:rPr>
          <w:sz w:val="20"/>
          <w:szCs w:val="20"/>
          <w:lang w:val="en-US" w:eastAsia="zh-CN"/>
        </w:rPr>
        <w:t>(OJL155,11.6.20 11,p.127,ELI:</w:t>
      </w:r>
      <w:r>
        <w:fldChar w:fldCharType="begin"/>
      </w:r>
      <w:r>
        <w:instrText xml:space="preserve"> HYPERLINK "http://data.europa.eu/eli/reg/2011/546/oj" \h </w:instrText>
      </w:r>
      <w:r>
        <w:fldChar w:fldCharType="separate"/>
      </w:r>
      <w:r>
        <w:rPr>
          <w:color w:val="0000FF"/>
          <w:sz w:val="20"/>
          <w:u w:val="single" w:color="0000FF"/>
          <w:lang w:val="en-US" w:eastAsia="zh-CN"/>
        </w:rPr>
        <w:t>http://data.europa.eu/eli/reg/2011/546/oj</w:t>
      </w:r>
      <w:r>
        <w:rPr>
          <w:color w:val="0000FF"/>
          <w:sz w:val="20"/>
          <w:u w:val="single" w:color="0000FF"/>
          <w:lang w:val="en-US" w:eastAsia="zh-CN"/>
        </w:rPr>
        <w:fldChar w:fldCharType="end"/>
      </w:r>
      <w:r>
        <w:rPr>
          <w:sz w:val="20"/>
          <w:lang w:val="en-US" w:eastAsia="zh-CN"/>
        </w:rPr>
        <w:t>).</w:t>
      </w:r>
    </w:p>
    <w:p w14:paraId="3CD2692C">
      <w:pPr>
        <w:jc w:val="both"/>
        <w:rPr>
          <w:sz w:val="20"/>
          <w:lang w:val="en-US" w:eastAsia="zh-CN"/>
        </w:rPr>
        <w:sectPr>
          <w:pgSz w:w="11910" w:h="16840"/>
          <w:pgMar w:top="1040" w:right="1300" w:bottom="1240" w:left="1300" w:header="0" w:footer="1041" w:gutter="0"/>
          <w:cols w:space="720" w:num="1"/>
        </w:sectPr>
      </w:pPr>
    </w:p>
    <w:p w14:paraId="0FA8A5BD">
      <w:pPr>
        <w:pStyle w:val="2"/>
        <w:spacing w:before="93"/>
        <w:ind w:left="824" w:right="112"/>
        <w:jc w:val="both"/>
        <w:rPr>
          <w:lang w:val="en-US" w:eastAsia="zh-CN"/>
        </w:rPr>
      </w:pPr>
      <w:r>
        <w:rPr>
          <w:rFonts w:hint="eastAsia" w:ascii="宋体" w:hAnsi="宋体" w:eastAsia="宋体" w:cs="宋体"/>
          <w:lang w:val="en-US" w:eastAsia="zh-CN"/>
        </w:rPr>
        <w:t>欧洲议会和理事会</w:t>
      </w:r>
      <w:r>
        <w:rPr>
          <w:rFonts w:ascii="宋体" w:hAnsi="宋体" w:eastAsia="宋体" w:cs="宋体"/>
          <w:vertAlign w:val="superscript"/>
          <w:lang w:val="en-US" w:eastAsia="zh-CN"/>
        </w:rPr>
        <w:t>10</w:t>
      </w:r>
      <w:r>
        <w:rPr>
          <w:rFonts w:hint="eastAsia" w:ascii="宋体" w:hAnsi="宋体" w:eastAsia="宋体" w:cs="宋体"/>
          <w:lang w:val="en-US" w:eastAsia="zh-CN"/>
        </w:rPr>
        <w:t>更新了其注册档案，表明这些物质符合欧洲议会和理事会（</w:t>
      </w:r>
      <w:r>
        <w:rPr>
          <w:rFonts w:ascii="宋体" w:hAnsi="宋体" w:eastAsia="宋体" w:cs="宋体"/>
          <w:lang w:val="en-US" w:eastAsia="zh-CN"/>
        </w:rPr>
        <w:t>EC）第1272/2008号法规</w:t>
      </w:r>
      <w:r>
        <w:rPr>
          <w:rFonts w:ascii="宋体" w:hAnsi="宋体" w:eastAsia="宋体" w:cs="宋体"/>
          <w:vertAlign w:val="superscript"/>
          <w:lang w:val="en-US" w:eastAsia="zh-CN"/>
        </w:rPr>
        <w:t>11</w:t>
      </w:r>
      <w:r>
        <w:rPr>
          <w:rFonts w:hint="eastAsia" w:ascii="宋体" w:hAnsi="宋体" w:eastAsia="宋体" w:cs="宋体"/>
          <w:lang w:val="en-US" w:eastAsia="zh-CN"/>
        </w:rPr>
        <w:t>规定的生殖毒性</w:t>
      </w:r>
      <w:r>
        <w:rPr>
          <w:rFonts w:ascii="宋体" w:hAnsi="宋体" w:eastAsia="宋体" w:cs="宋体"/>
          <w:lang w:val="en-US" w:eastAsia="zh-CN"/>
        </w:rPr>
        <w:t>2类分类标准。此外，德国当局根据法规(EC)No1272/2008提交了一份将TFA统一分类和标签为生殖毒性1B类的提案。最后，根据关于评估地下水中代谢物相关性的适用指导文件</w:t>
      </w:r>
      <w:r>
        <w:rPr>
          <w:rFonts w:ascii="宋体" w:hAnsi="宋体" w:eastAsia="宋体" w:cs="宋体"/>
          <w:vertAlign w:val="superscript"/>
          <w:lang w:val="en-US" w:eastAsia="zh-CN"/>
        </w:rPr>
        <w:t>10</w:t>
      </w:r>
      <w:r>
        <w:rPr>
          <w:rFonts w:hint="eastAsia" w:ascii="宋体" w:hAnsi="宋体" w:eastAsia="宋体" w:cs="宋体"/>
          <w:lang w:val="en-US" w:eastAsia="zh-CN"/>
        </w:rPr>
        <w:t>，由于其生殖毒性而符合法规</w:t>
      </w:r>
      <w:r>
        <w:rPr>
          <w:rFonts w:ascii="宋体" w:hAnsi="宋体" w:eastAsia="宋体" w:cs="宋体"/>
          <w:lang w:val="en-US" w:eastAsia="zh-CN"/>
        </w:rPr>
        <w:t>(EC)No1272/2008分类的渗入地下水的代谢物，无论其类别如何，都被认为是毒理学相关的。基于这些要素，委员会认为TFA是一种毒理学相关代谢物，极有可能污染地下水。因此，根据目前的科学和技术知识，尚不能证明氟噻草胺不会对地下水产生有害影响或对环境产生任何不可接受的影响。</w:t>
      </w:r>
    </w:p>
    <w:p w14:paraId="6746185C">
      <w:pPr>
        <w:pStyle w:val="8"/>
        <w:numPr>
          <w:ilvl w:val="0"/>
          <w:numId w:val="1"/>
        </w:numPr>
        <w:tabs>
          <w:tab w:val="left" w:pos="825"/>
        </w:tabs>
        <w:spacing w:before="122"/>
        <w:jc w:val="both"/>
        <w:rPr>
          <w:sz w:val="24"/>
          <w:lang w:val="en-US" w:eastAsia="zh-CN"/>
        </w:rPr>
      </w:pPr>
      <w:r>
        <w:rPr>
          <w:sz w:val="24"/>
          <w:szCs w:val="24"/>
          <w:lang w:val="en-US" w:eastAsia="zh-CN"/>
        </w:rPr>
        <w:t>EFSA</w:t>
      </w:r>
      <w:r>
        <w:rPr>
          <w:rFonts w:hint="eastAsia" w:ascii="宋体" w:hAnsi="宋体" w:eastAsia="宋体" w:cs="宋体"/>
          <w:sz w:val="24"/>
          <w:szCs w:val="24"/>
          <w:lang w:val="en-US" w:eastAsia="zh-CN"/>
        </w:rPr>
        <w:t>还确定了氟噻草胺所有代表性用途的</w:t>
      </w:r>
      <w:r>
        <w:rPr>
          <w:sz w:val="24"/>
          <w:szCs w:val="24"/>
          <w:lang w:val="en-US" w:eastAsia="zh-CN"/>
        </w:rPr>
        <w:t>9</w:t>
      </w:r>
      <w:r>
        <w:rPr>
          <w:rFonts w:hint="eastAsia" w:ascii="宋体" w:hAnsi="宋体" w:eastAsia="宋体" w:cs="宋体"/>
          <w:sz w:val="24"/>
          <w:szCs w:val="24"/>
          <w:lang w:val="en-US" w:eastAsia="zh-CN"/>
        </w:rPr>
        <w:t>种相关方案中的</w:t>
      </w:r>
      <w:r>
        <w:rPr>
          <w:sz w:val="24"/>
          <w:szCs w:val="24"/>
          <w:lang w:val="en-US" w:eastAsia="zh-CN"/>
        </w:rPr>
        <w:t>8</w:t>
      </w:r>
      <w:r>
        <w:rPr>
          <w:rFonts w:hint="eastAsia" w:ascii="宋体" w:hAnsi="宋体" w:eastAsia="宋体" w:cs="宋体"/>
          <w:sz w:val="24"/>
          <w:szCs w:val="24"/>
          <w:lang w:val="en-US" w:eastAsia="zh-CN"/>
        </w:rPr>
        <w:t>种对藻类的高风险。由于</w:t>
      </w:r>
      <w:r>
        <w:rPr>
          <w:sz w:val="24"/>
          <w:szCs w:val="24"/>
          <w:lang w:val="en-US" w:eastAsia="zh-CN"/>
        </w:rPr>
        <w:t>EFSA</w:t>
      </w:r>
      <w:r>
        <w:rPr>
          <w:rFonts w:hint="eastAsia" w:ascii="宋体" w:hAnsi="宋体" w:eastAsia="宋体" w:cs="宋体"/>
          <w:sz w:val="24"/>
          <w:szCs w:val="24"/>
          <w:lang w:val="en-US" w:eastAsia="zh-CN"/>
        </w:rPr>
        <w:t>认为有一种方案是可以接受的，因此这种鉴定不会导致氟噻草胺不符合续期标准的结论。</w:t>
      </w:r>
    </w:p>
    <w:p w14:paraId="090000DD">
      <w:pPr>
        <w:pStyle w:val="8"/>
        <w:numPr>
          <w:ilvl w:val="0"/>
          <w:numId w:val="1"/>
        </w:numPr>
        <w:tabs>
          <w:tab w:val="left" w:pos="825"/>
        </w:tabs>
        <w:jc w:val="both"/>
        <w:rPr>
          <w:sz w:val="24"/>
          <w:lang w:val="en-US" w:eastAsia="zh-CN"/>
        </w:rPr>
      </w:pPr>
      <w:r>
        <w:rPr>
          <w:rFonts w:hint="eastAsia" w:ascii="宋体" w:hAnsi="宋体" w:eastAsia="宋体" w:cs="宋体"/>
          <w:sz w:val="24"/>
          <w:szCs w:val="24"/>
          <w:lang w:val="en-US" w:eastAsia="zh-CN"/>
        </w:rPr>
        <w:t>此外，</w:t>
      </w:r>
      <w:r>
        <w:rPr>
          <w:sz w:val="24"/>
          <w:szCs w:val="24"/>
          <w:lang w:val="en-US" w:eastAsia="zh-CN"/>
        </w:rPr>
        <w:t>EFSA</w:t>
      </w:r>
      <w:r>
        <w:rPr>
          <w:rFonts w:hint="eastAsia" w:ascii="宋体" w:hAnsi="宋体" w:eastAsia="宋体" w:cs="宋体"/>
          <w:sz w:val="24"/>
          <w:szCs w:val="24"/>
          <w:lang w:val="en-US" w:eastAsia="zh-CN"/>
        </w:rPr>
        <w:t>得出结论，由于缺乏某些代谢物暴露数据，地下水中氟噻草胺（</w:t>
      </w:r>
      <w:r>
        <w:rPr>
          <w:sz w:val="24"/>
          <w:szCs w:val="24"/>
          <w:lang w:val="en-US" w:eastAsia="zh-CN"/>
        </w:rPr>
        <w:t>TFA</w:t>
      </w:r>
      <w:r>
        <w:rPr>
          <w:rFonts w:hint="eastAsia" w:ascii="宋体" w:hAnsi="宋体" w:eastAsia="宋体" w:cs="宋体"/>
          <w:sz w:val="24"/>
          <w:szCs w:val="24"/>
          <w:lang w:val="en-US" w:eastAsia="zh-CN"/>
        </w:rPr>
        <w:t>）以外的代谢物相关性评估和消费者风险评估无法完成。</w:t>
      </w:r>
    </w:p>
    <w:p w14:paraId="1A5F05D3">
      <w:pPr>
        <w:pStyle w:val="8"/>
        <w:numPr>
          <w:ilvl w:val="0"/>
          <w:numId w:val="1"/>
        </w:numPr>
        <w:tabs>
          <w:tab w:val="left" w:pos="825"/>
        </w:tabs>
        <w:ind w:right="113"/>
        <w:jc w:val="both"/>
        <w:rPr>
          <w:sz w:val="24"/>
          <w:lang w:val="en-US" w:eastAsia="zh-CN"/>
        </w:rPr>
      </w:pPr>
      <w:r>
        <w:rPr>
          <w:rFonts w:hint="eastAsia" w:ascii="宋体" w:hAnsi="宋体" w:eastAsia="宋体" w:cs="宋体"/>
          <w:sz w:val="24"/>
          <w:szCs w:val="24"/>
          <w:lang w:val="en-US" w:eastAsia="zh-CN"/>
        </w:rPr>
        <w:t>欧盟委员会于</w:t>
      </w:r>
      <w:r>
        <w:rPr>
          <w:sz w:val="24"/>
          <w:szCs w:val="24"/>
          <w:lang w:val="en-US" w:eastAsia="zh-CN"/>
        </w:rPr>
        <w:t>2024</w:t>
      </w:r>
      <w:r>
        <w:rPr>
          <w:rFonts w:hint="eastAsia" w:ascii="宋体" w:hAnsi="宋体" w:eastAsia="宋体" w:cs="宋体"/>
          <w:sz w:val="24"/>
          <w:szCs w:val="24"/>
          <w:lang w:val="en-US" w:eastAsia="zh-CN"/>
        </w:rPr>
        <w:t>年</w:t>
      </w:r>
      <w:r>
        <w:rPr>
          <w:sz w:val="24"/>
          <w:szCs w:val="24"/>
          <w:lang w:val="en-US" w:eastAsia="zh-CN"/>
        </w:rPr>
        <w:t>12</w:t>
      </w:r>
      <w:r>
        <w:rPr>
          <w:rFonts w:hint="eastAsia" w:ascii="宋体" w:hAnsi="宋体" w:eastAsia="宋体" w:cs="宋体"/>
          <w:sz w:val="24"/>
          <w:szCs w:val="24"/>
          <w:lang w:val="en-US" w:eastAsia="zh-CN"/>
        </w:rPr>
        <w:t>月</w:t>
      </w:r>
      <w:r>
        <w:rPr>
          <w:sz w:val="24"/>
          <w:szCs w:val="24"/>
          <w:lang w:val="en-US" w:eastAsia="zh-CN"/>
        </w:rPr>
        <w:t>4</w:t>
      </w:r>
      <w:r>
        <w:rPr>
          <w:rFonts w:hint="eastAsia" w:ascii="宋体" w:hAnsi="宋体" w:eastAsia="宋体" w:cs="宋体"/>
          <w:sz w:val="24"/>
          <w:szCs w:val="24"/>
          <w:lang w:val="en-US" w:eastAsia="zh-CN"/>
        </w:rPr>
        <w:t>日向植物、动物、食品和饲料常设委员会提交了续期报告和该法规草案。</w:t>
      </w:r>
    </w:p>
    <w:p w14:paraId="13D40880">
      <w:pPr>
        <w:pStyle w:val="8"/>
        <w:numPr>
          <w:ilvl w:val="0"/>
          <w:numId w:val="1"/>
        </w:numPr>
        <w:tabs>
          <w:tab w:val="left" w:pos="825"/>
        </w:tabs>
        <w:jc w:val="both"/>
        <w:rPr>
          <w:sz w:val="24"/>
          <w:lang w:val="en-US" w:eastAsia="zh-CN"/>
        </w:rPr>
      </w:pPr>
      <w:r>
        <w:rPr>
          <w:rFonts w:hint="eastAsia" w:ascii="宋体" w:hAnsi="宋体" w:eastAsia="宋体" w:cs="宋体"/>
          <w:sz w:val="24"/>
          <w:szCs w:val="24"/>
          <w:lang w:val="en-US" w:eastAsia="zh-CN"/>
        </w:rPr>
        <w:t>委员会请申请者就管理局的结论提出意见。此外，根据执行法规</w:t>
      </w:r>
      <w:r>
        <w:rPr>
          <w:sz w:val="24"/>
          <w:szCs w:val="24"/>
          <w:lang w:val="en-US" w:eastAsia="zh-CN"/>
        </w:rPr>
        <w:t>(EU)No844/2012</w:t>
      </w:r>
      <w:r>
        <w:rPr>
          <w:rFonts w:hint="eastAsia" w:ascii="宋体" w:hAnsi="宋体" w:eastAsia="宋体" w:cs="宋体"/>
          <w:sz w:val="24"/>
          <w:szCs w:val="24"/>
          <w:lang w:val="en-US" w:eastAsia="zh-CN"/>
        </w:rPr>
        <w:t>第</w:t>
      </w:r>
      <w:r>
        <w:rPr>
          <w:sz w:val="24"/>
          <w:szCs w:val="24"/>
          <w:lang w:val="en-US" w:eastAsia="zh-CN"/>
        </w:rPr>
        <w:t>14(1)</w:t>
      </w:r>
      <w:r>
        <w:rPr>
          <w:rFonts w:hint="eastAsia" w:ascii="宋体" w:hAnsi="宋体" w:eastAsia="宋体" w:cs="宋体"/>
          <w:sz w:val="24"/>
          <w:szCs w:val="24"/>
          <w:lang w:val="en-US" w:eastAsia="zh-CN"/>
        </w:rPr>
        <w:t>条第</w:t>
      </w:r>
      <w:r>
        <w:rPr>
          <w:sz w:val="24"/>
          <w:szCs w:val="24"/>
          <w:lang w:val="en-US" w:eastAsia="zh-CN"/>
        </w:rPr>
        <w:t>3</w:t>
      </w:r>
      <w:r>
        <w:rPr>
          <w:rFonts w:hint="eastAsia" w:ascii="宋体" w:hAnsi="宋体" w:eastAsia="宋体" w:cs="宋体"/>
          <w:sz w:val="24"/>
          <w:szCs w:val="24"/>
          <w:lang w:val="en-US" w:eastAsia="zh-CN"/>
        </w:rPr>
        <w:t>小段，委员会邀请申请人提交关于续期报告的意见。申请人提交了评论意见，这些评论意见得到了认真审查和适当考虑。</w:t>
      </w:r>
    </w:p>
    <w:p w14:paraId="1DF34F89">
      <w:pPr>
        <w:pStyle w:val="8"/>
        <w:numPr>
          <w:ilvl w:val="0"/>
          <w:numId w:val="1"/>
        </w:numPr>
        <w:tabs>
          <w:tab w:val="left" w:pos="825"/>
        </w:tabs>
        <w:ind w:right="116"/>
        <w:jc w:val="both"/>
        <w:rPr>
          <w:sz w:val="24"/>
          <w:lang w:val="en-US" w:eastAsia="zh-CN"/>
        </w:rPr>
      </w:pPr>
      <w:r>
        <w:rPr>
          <w:rFonts w:hint="eastAsia" w:ascii="宋体" w:hAnsi="宋体" w:eastAsia="宋体" w:cs="宋体"/>
          <w:sz w:val="24"/>
          <w:szCs w:val="24"/>
          <w:lang w:val="en-US" w:eastAsia="zh-CN"/>
        </w:rPr>
        <w:t>尽管申请人提出了论据，但无法消除对活性物质氟噻草胺的担忧。</w:t>
      </w:r>
    </w:p>
    <w:p w14:paraId="141F85DF">
      <w:pPr>
        <w:pStyle w:val="8"/>
        <w:numPr>
          <w:ilvl w:val="0"/>
          <w:numId w:val="1"/>
        </w:numPr>
        <w:tabs>
          <w:tab w:val="left" w:pos="825"/>
        </w:tabs>
        <w:jc w:val="both"/>
        <w:rPr>
          <w:sz w:val="24"/>
        </w:rPr>
      </w:pPr>
      <w:r>
        <w:rPr>
          <w:rFonts w:hint="eastAsia" w:ascii="宋体" w:hAnsi="宋体" w:eastAsia="宋体" w:cs="宋体"/>
          <w:sz w:val="24"/>
          <w:szCs w:val="24"/>
          <w:lang w:val="en-US" w:eastAsia="zh-CN"/>
        </w:rPr>
        <w:t>因此，对于至少一种含有氟噻草胺的植物保护产品的一种或多种代表性用途，尚未确定符合（</w:t>
      </w:r>
      <w:r>
        <w:rPr>
          <w:sz w:val="24"/>
          <w:szCs w:val="24"/>
          <w:lang w:val="en-US" w:eastAsia="zh-CN"/>
        </w:rPr>
        <w:t>EC</w:t>
      </w:r>
      <w:r>
        <w:rPr>
          <w:rFonts w:hint="eastAsia" w:ascii="宋体" w:hAnsi="宋体" w:eastAsia="宋体" w:cs="宋体"/>
          <w:sz w:val="24"/>
          <w:szCs w:val="24"/>
          <w:lang w:val="en-US" w:eastAsia="zh-CN"/>
        </w:rPr>
        <w:t>）第</w:t>
      </w:r>
      <w:r>
        <w:rPr>
          <w:sz w:val="24"/>
          <w:szCs w:val="24"/>
          <w:lang w:val="en-US" w:eastAsia="zh-CN"/>
        </w:rPr>
        <w:t>1107/2009</w:t>
      </w:r>
      <w:r>
        <w:rPr>
          <w:rFonts w:hint="eastAsia" w:ascii="宋体" w:hAnsi="宋体" w:eastAsia="宋体" w:cs="宋体"/>
          <w:sz w:val="24"/>
          <w:szCs w:val="24"/>
          <w:lang w:val="en-US" w:eastAsia="zh-CN"/>
        </w:rPr>
        <w:t>号法规第</w:t>
      </w:r>
      <w:r>
        <w:rPr>
          <w:sz w:val="24"/>
          <w:szCs w:val="24"/>
          <w:lang w:val="en-US" w:eastAsia="zh-CN"/>
        </w:rPr>
        <w:t>4</w:t>
      </w:r>
      <w:r>
        <w:rPr>
          <w:rFonts w:hint="eastAsia" w:ascii="宋体" w:hAnsi="宋体" w:eastAsia="宋体" w:cs="宋体"/>
          <w:sz w:val="24"/>
          <w:szCs w:val="24"/>
          <w:lang w:val="en-US" w:eastAsia="zh-CN"/>
        </w:rPr>
        <w:t>条规定的批准标准。</w:t>
      </w:r>
      <w:r>
        <w:rPr>
          <w:rFonts w:hint="eastAsia" w:ascii="宋体" w:hAnsi="宋体" w:eastAsia="宋体" w:cs="宋体"/>
          <w:sz w:val="24"/>
          <w:szCs w:val="24"/>
          <w:lang w:val="en-US"/>
        </w:rPr>
        <w:t>它是</w:t>
      </w:r>
    </w:p>
    <w:p w14:paraId="2C7992EE">
      <w:pPr>
        <w:pStyle w:val="2"/>
        <w:spacing w:before="0"/>
        <w:rPr>
          <w:sz w:val="20"/>
        </w:rPr>
      </w:pPr>
    </w:p>
    <w:p w14:paraId="30418DC8">
      <w:pPr>
        <w:pStyle w:val="2"/>
        <w:spacing w:before="0"/>
        <w:rPr>
          <w:sz w:val="20"/>
        </w:rPr>
      </w:pPr>
    </w:p>
    <w:p w14:paraId="4831C0F7">
      <w:pPr>
        <w:pStyle w:val="2"/>
        <w:spacing w:before="2"/>
        <w:rPr>
          <w:sz w:val="14"/>
        </w:rPr>
      </w:pPr>
      <w:r>
        <w:pict>
          <v:rect id="docshape8" o:spid="_x0000_s2051" o:spt="1" style="position:absolute;left:0pt;margin-left:70.8pt;margin-top:9.4pt;height:0.6pt;width:144pt;mso-position-horizontal-relative:page;mso-wrap-distance-bottom:0pt;mso-wrap-distance-top:0pt;z-index:-251652096;mso-width-relative:page;mso-height-relative:page;" fillcolor="#000000" filled="t" stroked="f" coordsize="21600,21600">
            <v:path/>
            <v:fill on="t" focussize="0,0"/>
            <v:stroke on="f"/>
            <v:imagedata o:title=""/>
            <o:lock v:ext="edit"/>
            <w10:wrap type="topAndBottom"/>
          </v:rect>
        </w:pict>
      </w:r>
    </w:p>
    <w:p w14:paraId="256D8629">
      <w:pPr>
        <w:tabs>
          <w:tab w:val="left" w:pos="836"/>
        </w:tabs>
        <w:spacing w:before="103"/>
        <w:ind w:left="836" w:right="118" w:hanging="720"/>
        <w:jc w:val="both"/>
        <w:rPr>
          <w:sz w:val="20"/>
          <w:lang w:val="en-US" w:eastAsia="zh-CN"/>
        </w:rPr>
      </w:pPr>
      <w:r>
        <w:rPr>
          <w:spacing w:val="-6"/>
          <w:sz w:val="20"/>
          <w:vertAlign w:val="superscript"/>
          <w:lang w:val="en-US" w:eastAsia="zh-CN"/>
        </w:rPr>
        <w:t>10</w:t>
      </w:r>
      <w:r>
        <w:rPr>
          <w:sz w:val="20"/>
          <w:lang w:val="en-US" w:eastAsia="zh-CN"/>
        </w:rPr>
        <w:tab/>
      </w:r>
      <w:r>
        <w:rPr>
          <w:sz w:val="20"/>
          <w:szCs w:val="20"/>
          <w:lang w:val="en-US" w:eastAsia="zh-CN"/>
        </w:rPr>
        <w:t>2006</w:t>
      </w:r>
      <w:r>
        <w:rPr>
          <w:rFonts w:hint="eastAsia" w:ascii="宋体" w:hAnsi="宋体" w:eastAsia="宋体" w:cs="宋体"/>
          <w:sz w:val="20"/>
          <w:szCs w:val="20"/>
          <w:lang w:val="en-US" w:eastAsia="zh-CN"/>
        </w:rPr>
        <w:t>年</w:t>
      </w:r>
      <w:r>
        <w:rPr>
          <w:sz w:val="20"/>
          <w:szCs w:val="20"/>
          <w:lang w:val="en-US" w:eastAsia="zh-CN"/>
        </w:rPr>
        <w:t>12</w:t>
      </w:r>
      <w:r>
        <w:rPr>
          <w:rFonts w:hint="eastAsia" w:ascii="宋体" w:hAnsi="宋体" w:eastAsia="宋体" w:cs="宋体"/>
          <w:sz w:val="20"/>
          <w:szCs w:val="20"/>
          <w:lang w:val="en-US" w:eastAsia="zh-CN"/>
        </w:rPr>
        <w:t>月</w:t>
      </w:r>
      <w:r>
        <w:rPr>
          <w:sz w:val="20"/>
          <w:szCs w:val="20"/>
          <w:lang w:val="en-US" w:eastAsia="zh-CN"/>
        </w:rPr>
        <w:t>18</w:t>
      </w:r>
      <w:r>
        <w:rPr>
          <w:rFonts w:hint="eastAsia" w:ascii="宋体" w:hAnsi="宋体" w:eastAsia="宋体" w:cs="宋体"/>
          <w:sz w:val="20"/>
          <w:szCs w:val="20"/>
          <w:lang w:val="en-US" w:eastAsia="zh-CN"/>
        </w:rPr>
        <w:t>日欧洲议会和理事会关于化学品注册、评估、授权和限制（</w:t>
      </w:r>
      <w:r>
        <w:rPr>
          <w:sz w:val="20"/>
          <w:szCs w:val="20"/>
          <w:lang w:val="en-US" w:eastAsia="zh-CN"/>
        </w:rPr>
        <w:t>REACH</w:t>
      </w:r>
      <w:r>
        <w:rPr>
          <w:rFonts w:hint="eastAsia" w:ascii="宋体" w:hAnsi="宋体" w:eastAsia="宋体" w:cs="宋体"/>
          <w:sz w:val="20"/>
          <w:szCs w:val="20"/>
          <w:lang w:val="en-US" w:eastAsia="zh-CN"/>
        </w:rPr>
        <w:t>）的法规</w:t>
      </w:r>
      <w:r>
        <w:rPr>
          <w:sz w:val="20"/>
          <w:szCs w:val="20"/>
          <w:lang w:val="en-US" w:eastAsia="zh-CN"/>
        </w:rPr>
        <w:t>(EC)No1907/2006</w:t>
      </w:r>
      <w:r>
        <w:rPr>
          <w:rFonts w:hint="eastAsia" w:ascii="宋体" w:hAnsi="宋体" w:eastAsia="宋体" w:cs="宋体"/>
          <w:sz w:val="20"/>
          <w:szCs w:val="20"/>
          <w:lang w:val="en-US" w:eastAsia="zh-CN"/>
        </w:rPr>
        <w:t>，建立欧洲化学品管理局，修订指令</w:t>
      </w:r>
      <w:r>
        <w:rPr>
          <w:sz w:val="20"/>
          <w:szCs w:val="20"/>
          <w:lang w:val="en-US" w:eastAsia="zh-CN"/>
        </w:rPr>
        <w:t>1999/45/EC</w:t>
      </w:r>
      <w:r>
        <w:rPr>
          <w:rFonts w:hint="eastAsia" w:ascii="宋体" w:hAnsi="宋体" w:eastAsia="宋体" w:cs="宋体"/>
          <w:sz w:val="20"/>
          <w:szCs w:val="20"/>
          <w:lang w:val="en-US" w:eastAsia="zh-CN"/>
        </w:rPr>
        <w:t>并废除理事会法规</w:t>
      </w:r>
      <w:r>
        <w:rPr>
          <w:sz w:val="20"/>
          <w:szCs w:val="20"/>
          <w:lang w:val="en-US" w:eastAsia="zh-CN"/>
        </w:rPr>
        <w:t>(EEC)No793/93</w:t>
      </w:r>
      <w:r>
        <w:rPr>
          <w:rFonts w:hint="eastAsia" w:ascii="宋体" w:hAnsi="宋体" w:eastAsia="宋体" w:cs="宋体"/>
          <w:sz w:val="20"/>
          <w:szCs w:val="20"/>
          <w:lang w:val="en-US" w:eastAsia="zh-CN"/>
        </w:rPr>
        <w:t>和委员会法规</w:t>
      </w:r>
      <w:r>
        <w:rPr>
          <w:sz w:val="20"/>
          <w:szCs w:val="20"/>
          <w:lang w:val="en-US" w:eastAsia="zh-CN"/>
        </w:rPr>
        <w:t>(EC)No1488/94</w:t>
      </w:r>
      <w:r>
        <w:rPr>
          <w:rFonts w:hint="eastAsia" w:ascii="宋体" w:hAnsi="宋体" w:eastAsia="宋体" w:cs="宋体"/>
          <w:sz w:val="20"/>
          <w:szCs w:val="20"/>
          <w:lang w:val="en-US" w:eastAsia="zh-CN"/>
        </w:rPr>
        <w:t>以及理事会指令</w:t>
      </w:r>
      <w:r>
        <w:rPr>
          <w:sz w:val="20"/>
          <w:szCs w:val="20"/>
          <w:lang w:val="en-US" w:eastAsia="zh-CN"/>
        </w:rPr>
        <w:t>76/769/EEC</w:t>
      </w:r>
      <w:r>
        <w:rPr>
          <w:rFonts w:hint="eastAsia" w:ascii="宋体" w:hAnsi="宋体" w:eastAsia="宋体" w:cs="宋体"/>
          <w:sz w:val="20"/>
          <w:szCs w:val="20"/>
          <w:lang w:val="en-US" w:eastAsia="zh-CN"/>
        </w:rPr>
        <w:t>和委员会指令</w:t>
      </w:r>
      <w:r>
        <w:rPr>
          <w:sz w:val="20"/>
          <w:szCs w:val="20"/>
          <w:lang w:val="en-US" w:eastAsia="zh-CN"/>
        </w:rPr>
        <w:t>91/155/EEC</w:t>
      </w:r>
      <w:r>
        <w:rPr>
          <w:rFonts w:hint="eastAsia" w:ascii="宋体" w:hAnsi="宋体" w:eastAsia="宋体" w:cs="宋体"/>
          <w:sz w:val="20"/>
          <w:szCs w:val="20"/>
          <w:lang w:val="en-US" w:eastAsia="zh-CN"/>
        </w:rPr>
        <w:t>、</w:t>
      </w:r>
      <w:r>
        <w:rPr>
          <w:sz w:val="20"/>
          <w:szCs w:val="20"/>
          <w:lang w:val="en-US" w:eastAsia="zh-CN"/>
        </w:rPr>
        <w:t>93/67/EEC</w:t>
      </w:r>
      <w:r>
        <w:rPr>
          <w:rFonts w:hint="eastAsia" w:ascii="宋体" w:hAnsi="宋体" w:eastAsia="宋体" w:cs="宋体"/>
          <w:sz w:val="20"/>
          <w:szCs w:val="20"/>
          <w:lang w:val="en-US" w:eastAsia="zh-CN"/>
        </w:rPr>
        <w:t>、</w:t>
      </w:r>
      <w:r>
        <w:rPr>
          <w:sz w:val="20"/>
          <w:szCs w:val="20"/>
          <w:lang w:val="en-US" w:eastAsia="zh-CN"/>
        </w:rPr>
        <w:t>93/105/EC</w:t>
      </w:r>
      <w:r>
        <w:rPr>
          <w:rFonts w:hint="eastAsia" w:ascii="宋体" w:hAnsi="宋体" w:eastAsia="宋体" w:cs="宋体"/>
          <w:sz w:val="20"/>
          <w:szCs w:val="20"/>
          <w:lang w:val="en-US" w:eastAsia="zh-CN"/>
        </w:rPr>
        <w:t>和</w:t>
      </w:r>
      <w:r>
        <w:rPr>
          <w:sz w:val="20"/>
          <w:szCs w:val="20"/>
          <w:lang w:val="en-US" w:eastAsia="zh-CN"/>
        </w:rPr>
        <w:t>2000/21/EC</w:t>
      </w:r>
      <w:r>
        <w:rPr>
          <w:rFonts w:hint="eastAsia" w:ascii="宋体" w:hAnsi="宋体" w:eastAsia="宋体" w:cs="宋体"/>
          <w:sz w:val="20"/>
          <w:szCs w:val="20"/>
          <w:lang w:val="en-US" w:eastAsia="zh-CN"/>
        </w:rPr>
        <w:t>（</w:t>
      </w:r>
      <w:r>
        <w:rPr>
          <w:sz w:val="20"/>
          <w:szCs w:val="20"/>
          <w:lang w:val="en-US" w:eastAsia="zh-CN"/>
        </w:rPr>
        <w:t>OJL396,30.12.20 06,p.1,ELI</w:t>
      </w:r>
      <w:r>
        <w:rPr>
          <w:rFonts w:hint="eastAsia" w:ascii="宋体" w:hAnsi="宋体" w:eastAsia="宋体" w:cs="宋体"/>
          <w:sz w:val="20"/>
          <w:szCs w:val="20"/>
          <w:lang w:val="en-US" w:eastAsia="zh-CN"/>
        </w:rPr>
        <w:t>：</w:t>
      </w:r>
      <w:r>
        <w:fldChar w:fldCharType="begin"/>
      </w:r>
      <w:r>
        <w:instrText xml:space="preserve"> HYPERLINK "http://data.europa.eu/eli/reg/2006/1907/oj" \h </w:instrText>
      </w:r>
      <w:r>
        <w:fldChar w:fldCharType="separate"/>
      </w:r>
      <w:r>
        <w:rPr>
          <w:color w:val="0000FF"/>
          <w:sz w:val="20"/>
          <w:u w:val="single" w:color="0000FF"/>
          <w:lang w:val="en-US" w:eastAsia="zh-CN"/>
        </w:rPr>
        <w:t>http://data.europa.eu/eli/reg/2006/1907/oj</w:t>
      </w:r>
      <w:r>
        <w:rPr>
          <w:color w:val="0000FF"/>
          <w:sz w:val="20"/>
          <w:u w:val="single" w:color="0000FF"/>
          <w:lang w:val="en-US" w:eastAsia="zh-CN"/>
        </w:rPr>
        <w:fldChar w:fldCharType="end"/>
      </w:r>
      <w:r>
        <w:rPr>
          <w:sz w:val="20"/>
          <w:lang w:val="en-US" w:eastAsia="zh-CN"/>
        </w:rPr>
        <w:t>).</w:t>
      </w:r>
    </w:p>
    <w:p w14:paraId="211D6085">
      <w:pPr>
        <w:tabs>
          <w:tab w:val="left" w:pos="836"/>
        </w:tabs>
        <w:ind w:left="836" w:right="115" w:hanging="720"/>
        <w:jc w:val="both"/>
        <w:rPr>
          <w:sz w:val="20"/>
          <w:lang w:val="en-US" w:eastAsia="zh-CN"/>
        </w:rPr>
      </w:pPr>
      <w:r>
        <w:rPr>
          <w:spacing w:val="-6"/>
          <w:sz w:val="20"/>
          <w:vertAlign w:val="superscript"/>
          <w:lang w:val="en-US" w:eastAsia="zh-CN"/>
        </w:rPr>
        <w:t>11</w:t>
      </w:r>
      <w:r>
        <w:rPr>
          <w:sz w:val="20"/>
          <w:lang w:val="en-US" w:eastAsia="zh-CN"/>
        </w:rPr>
        <w:tab/>
      </w:r>
      <w:r>
        <w:rPr>
          <w:sz w:val="20"/>
          <w:szCs w:val="20"/>
          <w:lang w:val="en-US" w:eastAsia="zh-CN"/>
        </w:rPr>
        <w:t>2008</w:t>
      </w:r>
      <w:r>
        <w:rPr>
          <w:rFonts w:hint="eastAsia" w:ascii="宋体" w:hAnsi="宋体" w:eastAsia="宋体" w:cs="宋体"/>
          <w:sz w:val="20"/>
          <w:szCs w:val="20"/>
          <w:lang w:val="en-US" w:eastAsia="zh-CN"/>
        </w:rPr>
        <w:t>年</w:t>
      </w:r>
      <w:r>
        <w:rPr>
          <w:sz w:val="20"/>
          <w:szCs w:val="20"/>
          <w:lang w:val="en-US" w:eastAsia="zh-CN"/>
        </w:rPr>
        <w:t>12</w:t>
      </w:r>
      <w:r>
        <w:rPr>
          <w:rFonts w:hint="eastAsia" w:ascii="宋体" w:hAnsi="宋体" w:eastAsia="宋体" w:cs="宋体"/>
          <w:sz w:val="20"/>
          <w:szCs w:val="20"/>
          <w:lang w:val="en-US" w:eastAsia="zh-CN"/>
        </w:rPr>
        <w:t>月</w:t>
      </w:r>
      <w:r>
        <w:rPr>
          <w:sz w:val="20"/>
          <w:szCs w:val="20"/>
          <w:lang w:val="en-US" w:eastAsia="zh-CN"/>
        </w:rPr>
        <w:t>16</w:t>
      </w:r>
      <w:r>
        <w:rPr>
          <w:rFonts w:hint="eastAsia" w:ascii="宋体" w:hAnsi="宋体" w:eastAsia="宋体" w:cs="宋体"/>
          <w:sz w:val="20"/>
          <w:szCs w:val="20"/>
          <w:lang w:val="en-US" w:eastAsia="zh-CN"/>
        </w:rPr>
        <w:t>日欧洲议会和理事会关于物质和混合物分类、标签和包装的法规</w:t>
      </w:r>
      <w:r>
        <w:rPr>
          <w:sz w:val="20"/>
          <w:szCs w:val="20"/>
          <w:lang w:val="en-US" w:eastAsia="zh-CN"/>
        </w:rPr>
        <w:t>(EC)No1272/2008</w:t>
      </w:r>
      <w:r>
        <w:rPr>
          <w:rFonts w:hint="eastAsia" w:ascii="宋体" w:hAnsi="宋体" w:eastAsia="宋体" w:cs="宋体"/>
          <w:sz w:val="20"/>
          <w:szCs w:val="20"/>
          <w:lang w:val="en-US" w:eastAsia="zh-CN"/>
        </w:rPr>
        <w:t>，修订和废除指令</w:t>
      </w:r>
      <w:r>
        <w:rPr>
          <w:sz w:val="20"/>
          <w:szCs w:val="20"/>
          <w:lang w:val="en-US" w:eastAsia="zh-CN"/>
        </w:rPr>
        <w:t>67/548/EEC</w:t>
      </w:r>
      <w:r>
        <w:rPr>
          <w:rFonts w:hint="eastAsia" w:ascii="宋体" w:hAnsi="宋体" w:eastAsia="宋体" w:cs="宋体"/>
          <w:sz w:val="20"/>
          <w:szCs w:val="20"/>
          <w:lang w:val="en-US" w:eastAsia="zh-CN"/>
        </w:rPr>
        <w:t>和</w:t>
      </w:r>
      <w:r>
        <w:rPr>
          <w:sz w:val="20"/>
          <w:szCs w:val="20"/>
          <w:lang w:val="en-US" w:eastAsia="zh-CN"/>
        </w:rPr>
        <w:t>1999/45/EC</w:t>
      </w:r>
      <w:r>
        <w:rPr>
          <w:rFonts w:hint="eastAsia" w:ascii="宋体" w:hAnsi="宋体" w:eastAsia="宋体" w:cs="宋体"/>
          <w:sz w:val="20"/>
          <w:szCs w:val="20"/>
          <w:lang w:val="en-US" w:eastAsia="zh-CN"/>
        </w:rPr>
        <w:t>，以及修订法规</w:t>
      </w:r>
      <w:r>
        <w:rPr>
          <w:sz w:val="20"/>
          <w:szCs w:val="20"/>
          <w:lang w:val="en-US" w:eastAsia="zh-CN"/>
        </w:rPr>
        <w:t>(EC)No1907/2006(OJL353,31.12.20 08,p.1,ELI:</w:t>
      </w:r>
      <w:r>
        <w:fldChar w:fldCharType="begin"/>
      </w:r>
      <w:r>
        <w:instrText xml:space="preserve"> HYPERLINK "http://data.europa.eu/eli/reg/2008/1272/oj" \h </w:instrText>
      </w:r>
      <w:r>
        <w:fldChar w:fldCharType="separate"/>
      </w:r>
      <w:r>
        <w:rPr>
          <w:color w:val="0000FF"/>
          <w:sz w:val="20"/>
          <w:u w:val="single" w:color="0000FF"/>
          <w:lang w:val="en-US" w:eastAsia="zh-CN"/>
        </w:rPr>
        <w:t>http://data.europa.eu/eli/reg/2008/1272/oj</w:t>
      </w:r>
      <w:r>
        <w:rPr>
          <w:color w:val="0000FF"/>
          <w:sz w:val="20"/>
          <w:u w:val="single" w:color="0000FF"/>
          <w:lang w:val="en-US" w:eastAsia="zh-CN"/>
        </w:rPr>
        <w:fldChar w:fldCharType="end"/>
      </w:r>
      <w:r>
        <w:rPr>
          <w:sz w:val="20"/>
          <w:lang w:val="en-US" w:eastAsia="zh-CN"/>
        </w:rPr>
        <w:t>).</w:t>
      </w:r>
    </w:p>
    <w:p w14:paraId="402F6EEB">
      <w:pPr>
        <w:tabs>
          <w:tab w:val="left" w:pos="836"/>
        </w:tabs>
        <w:ind w:left="836" w:right="112" w:hanging="720"/>
        <w:jc w:val="both"/>
        <w:rPr>
          <w:sz w:val="20"/>
          <w:lang w:val="en-US"/>
        </w:rPr>
      </w:pPr>
      <w:r>
        <w:rPr>
          <w:spacing w:val="-6"/>
          <w:sz w:val="20"/>
          <w:vertAlign w:val="superscript"/>
          <w:lang w:val="en-US"/>
        </w:rPr>
        <w:t>12</w:t>
      </w:r>
      <w:r>
        <w:rPr>
          <w:sz w:val="20"/>
          <w:lang w:val="en-US"/>
        </w:rPr>
        <w:tab/>
      </w:r>
      <w:r>
        <w:rPr>
          <w:rFonts w:hint="eastAsia" w:ascii="宋体" w:hAnsi="宋体" w:eastAsia="宋体" w:cs="宋体"/>
          <w:sz w:val="20"/>
          <w:szCs w:val="20"/>
          <w:lang w:val="en-US"/>
        </w:rPr>
        <w:t>根据理事会指令</w:t>
      </w:r>
      <w:r>
        <w:rPr>
          <w:sz w:val="20"/>
          <w:szCs w:val="20"/>
          <w:lang w:val="en-US"/>
        </w:rPr>
        <w:t>91/414/EEC</w:t>
      </w:r>
      <w:r>
        <w:rPr>
          <w:rFonts w:hint="eastAsia" w:ascii="宋体" w:hAnsi="宋体" w:eastAsia="宋体" w:cs="宋体"/>
          <w:sz w:val="20"/>
          <w:szCs w:val="20"/>
          <w:lang w:val="en-US"/>
        </w:rPr>
        <w:t>管制物质的地下水代谢物相关性评估指导文件，</w:t>
      </w:r>
      <w:r>
        <w:rPr>
          <w:sz w:val="20"/>
          <w:szCs w:val="20"/>
          <w:lang w:val="en-US"/>
        </w:rPr>
        <w:t>2003</w:t>
      </w:r>
      <w:r>
        <w:rPr>
          <w:rFonts w:hint="eastAsia" w:ascii="宋体" w:hAnsi="宋体" w:eastAsia="宋体" w:cs="宋体"/>
          <w:sz w:val="20"/>
          <w:szCs w:val="20"/>
          <w:lang w:val="en-US"/>
        </w:rPr>
        <w:t>年</w:t>
      </w:r>
      <w:r>
        <w:rPr>
          <w:sz w:val="20"/>
          <w:szCs w:val="20"/>
          <w:lang w:val="en-US"/>
        </w:rPr>
        <w:t>2</w:t>
      </w:r>
      <w:r>
        <w:rPr>
          <w:rFonts w:hint="eastAsia" w:ascii="宋体" w:hAnsi="宋体" w:eastAsia="宋体" w:cs="宋体"/>
          <w:sz w:val="20"/>
          <w:szCs w:val="20"/>
          <w:lang w:val="en-US"/>
        </w:rPr>
        <w:t>月</w:t>
      </w:r>
      <w:r>
        <w:rPr>
          <w:sz w:val="20"/>
          <w:szCs w:val="20"/>
          <w:lang w:val="en-US"/>
        </w:rPr>
        <w:t>25</w:t>
      </w:r>
      <w:r>
        <w:rPr>
          <w:rFonts w:hint="eastAsia" w:ascii="宋体" w:hAnsi="宋体" w:eastAsia="宋体" w:cs="宋体"/>
          <w:sz w:val="20"/>
          <w:szCs w:val="20"/>
          <w:lang w:val="en-US"/>
        </w:rPr>
        <w:t>日文件</w:t>
      </w:r>
      <w:r>
        <w:rPr>
          <w:sz w:val="20"/>
          <w:szCs w:val="20"/>
          <w:lang w:val="en-US"/>
        </w:rPr>
        <w:t>Sanco/221/2000-Rev.10</w:t>
      </w:r>
      <w:r>
        <w:rPr>
          <w:rFonts w:hint="eastAsia" w:ascii="宋体" w:hAnsi="宋体" w:eastAsia="宋体" w:cs="宋体"/>
          <w:sz w:val="20"/>
          <w:szCs w:val="20"/>
          <w:lang w:val="en-US"/>
        </w:rPr>
        <w:t>，</w:t>
      </w:r>
      <w:r>
        <w:fldChar w:fldCharType="begin"/>
      </w:r>
      <w:r>
        <w:instrText xml:space="preserve"> HYPERLINK "https://food.ec.europa.eu/system/files/2016-10/pesticides_ppp_app-proc_guide_fate_metabolites-groundwtr.pdf" \h </w:instrText>
      </w:r>
      <w:r>
        <w:fldChar w:fldCharType="separate"/>
      </w:r>
      <w:r>
        <w:rPr>
          <w:color w:val="0000FF"/>
          <w:sz w:val="20"/>
          <w:u w:val="single" w:color="0000FF"/>
          <w:lang w:val="en-US"/>
        </w:rPr>
        <w:t>https://food.ec.europa.eu/system/files/2016-10/pesticides_ppp_app-proc_guide_fate_metabolites-</w:t>
      </w:r>
      <w:r>
        <w:rPr>
          <w:color w:val="0000FF"/>
          <w:sz w:val="20"/>
          <w:u w:val="single" w:color="0000FF"/>
          <w:lang w:val="en-US"/>
        </w:rPr>
        <w:fldChar w:fldCharType="end"/>
      </w:r>
      <w:r>
        <w:rPr>
          <w:color w:val="0000FF"/>
          <w:sz w:val="20"/>
          <w:lang w:val="en-US"/>
        </w:rPr>
        <w:t xml:space="preserve"> </w:t>
      </w:r>
      <w:r>
        <w:fldChar w:fldCharType="begin"/>
      </w:r>
      <w:r>
        <w:instrText xml:space="preserve"> HYPERLINK "https://food.ec.europa.eu/system/files/2016-10/pesticides_ppp_app-proc_guide_fate_metabolites-groundwtr.pdf" \h </w:instrText>
      </w:r>
      <w:r>
        <w:fldChar w:fldCharType="separate"/>
      </w:r>
      <w:r>
        <w:rPr>
          <w:color w:val="0000FF"/>
          <w:spacing w:val="-2"/>
          <w:sz w:val="20"/>
          <w:u w:val="single" w:color="0000FF"/>
          <w:lang w:val="en-US"/>
        </w:rPr>
        <w:t>groundwtr.pdf</w:t>
      </w:r>
      <w:r>
        <w:rPr>
          <w:spacing w:val="-2"/>
          <w:sz w:val="20"/>
          <w:lang w:val="en-US"/>
        </w:rPr>
        <w:t>.</w:t>
      </w:r>
      <w:r>
        <w:rPr>
          <w:spacing w:val="-2"/>
          <w:sz w:val="20"/>
          <w:lang w:val="en-US"/>
        </w:rPr>
        <w:fldChar w:fldCharType="end"/>
      </w:r>
    </w:p>
    <w:p w14:paraId="7131E14E">
      <w:pPr>
        <w:jc w:val="both"/>
        <w:rPr>
          <w:sz w:val="20"/>
          <w:lang w:val="en-US"/>
        </w:rPr>
        <w:sectPr>
          <w:pgSz w:w="11910" w:h="16840"/>
          <w:pgMar w:top="1020" w:right="1300" w:bottom="1240" w:left="1300" w:header="0" w:footer="1041" w:gutter="0"/>
          <w:cols w:space="720" w:num="1"/>
        </w:sectPr>
      </w:pPr>
    </w:p>
    <w:p w14:paraId="6D81D299">
      <w:pPr>
        <w:pStyle w:val="2"/>
        <w:spacing w:before="73"/>
        <w:ind w:left="824" w:right="114"/>
        <w:jc w:val="both"/>
        <w:rPr>
          <w:lang w:val="en-US" w:eastAsia="zh-CN"/>
        </w:rPr>
      </w:pPr>
      <w:r>
        <w:rPr>
          <w:rFonts w:hint="eastAsia" w:ascii="宋体" w:hAnsi="宋体" w:eastAsia="宋体" w:cs="宋体"/>
          <w:lang w:val="en-US" w:eastAsia="zh-CN"/>
        </w:rPr>
        <w:t>因此，根据该法规第</w:t>
      </w:r>
      <w:r>
        <w:rPr>
          <w:lang w:val="en-US" w:eastAsia="zh-CN"/>
        </w:rPr>
        <w:t>20(1)</w:t>
      </w:r>
      <w:r>
        <w:rPr>
          <w:rFonts w:hint="eastAsia" w:ascii="宋体" w:hAnsi="宋体" w:eastAsia="宋体" w:cs="宋体"/>
          <w:lang w:val="en-US" w:eastAsia="zh-CN"/>
        </w:rPr>
        <w:t>条</w:t>
      </w:r>
      <w:r>
        <w:rPr>
          <w:lang w:val="en-US" w:eastAsia="zh-CN"/>
        </w:rPr>
        <w:t>(b)</w:t>
      </w:r>
      <w:r>
        <w:rPr>
          <w:rFonts w:hint="eastAsia" w:ascii="宋体" w:hAnsi="宋体" w:eastAsia="宋体" w:cs="宋体"/>
          <w:lang w:val="en-US" w:eastAsia="zh-CN"/>
        </w:rPr>
        <w:t>点，不继续批准活性物质氟噻草胺是适当的。</w:t>
      </w:r>
    </w:p>
    <w:p w14:paraId="69602CEE">
      <w:pPr>
        <w:pStyle w:val="8"/>
        <w:numPr>
          <w:ilvl w:val="0"/>
          <w:numId w:val="1"/>
        </w:numPr>
        <w:tabs>
          <w:tab w:val="left" w:pos="825"/>
        </w:tabs>
        <w:spacing w:before="121"/>
        <w:ind w:right="121"/>
        <w:jc w:val="both"/>
        <w:rPr>
          <w:sz w:val="24"/>
          <w:lang w:val="en-US"/>
        </w:rPr>
      </w:pPr>
      <w:r>
        <w:rPr>
          <w:rFonts w:hint="eastAsia" w:ascii="宋体" w:hAnsi="宋体" w:eastAsia="宋体" w:cs="宋体"/>
          <w:sz w:val="24"/>
          <w:szCs w:val="24"/>
          <w:lang w:val="en-US"/>
        </w:rPr>
        <w:t>因此，应相应修订执行法规</w:t>
      </w:r>
      <w:r>
        <w:rPr>
          <w:sz w:val="24"/>
          <w:szCs w:val="24"/>
          <w:lang w:val="en-US"/>
        </w:rPr>
        <w:t>(EU)No540/2011</w:t>
      </w:r>
      <w:r>
        <w:rPr>
          <w:rFonts w:hint="eastAsia" w:ascii="宋体" w:hAnsi="宋体" w:eastAsia="宋体" w:cs="宋体"/>
          <w:sz w:val="24"/>
          <w:szCs w:val="24"/>
          <w:lang w:val="en-US"/>
        </w:rPr>
        <w:t>。</w:t>
      </w:r>
    </w:p>
    <w:p w14:paraId="722294B7">
      <w:pPr>
        <w:pStyle w:val="8"/>
        <w:numPr>
          <w:ilvl w:val="0"/>
          <w:numId w:val="1"/>
        </w:numPr>
        <w:tabs>
          <w:tab w:val="left" w:pos="825"/>
        </w:tabs>
        <w:ind w:right="113"/>
        <w:jc w:val="both"/>
        <w:rPr>
          <w:lang w:val="en-US" w:eastAsia="zh-CN"/>
        </w:rPr>
      </w:pPr>
      <w:r>
        <w:rPr>
          <w:rFonts w:hint="eastAsia" w:ascii="宋体" w:hAnsi="宋体" w:eastAsia="宋体" w:cs="宋体"/>
          <w:sz w:val="24"/>
          <w:szCs w:val="24"/>
          <w:lang w:val="en-US" w:eastAsia="zh-CN"/>
        </w:rPr>
        <w:t>欧盟委员会（</w:t>
      </w:r>
      <w:r>
        <w:rPr>
          <w:sz w:val="24"/>
          <w:szCs w:val="24"/>
          <w:lang w:val="en-US" w:eastAsia="zh-CN"/>
        </w:rPr>
        <w:t>EU</w:t>
      </w:r>
      <w:r>
        <w:rPr>
          <w:rFonts w:hint="eastAsia" w:ascii="宋体" w:hAnsi="宋体" w:eastAsia="宋体" w:cs="宋体"/>
          <w:sz w:val="24"/>
          <w:szCs w:val="24"/>
          <w:lang w:val="en-US" w:eastAsia="zh-CN"/>
        </w:rPr>
        <w:t>）第</w:t>
      </w:r>
      <w:r>
        <w:rPr>
          <w:sz w:val="24"/>
          <w:szCs w:val="24"/>
          <w:lang w:val="en-US" w:eastAsia="zh-CN"/>
        </w:rPr>
        <w:t>2015/408</w:t>
      </w:r>
      <w:r>
        <w:rPr>
          <w:rFonts w:hint="eastAsia" w:ascii="宋体" w:hAnsi="宋体" w:eastAsia="宋体" w:cs="宋体"/>
          <w:sz w:val="24"/>
          <w:szCs w:val="24"/>
          <w:lang w:val="en-US" w:eastAsia="zh-CN"/>
        </w:rPr>
        <w:t>号执行法规</w:t>
      </w:r>
      <w:r>
        <w:rPr>
          <w:rFonts w:ascii="宋体" w:hAnsi="宋体" w:eastAsia="宋体" w:cs="宋体"/>
          <w:sz w:val="24"/>
          <w:szCs w:val="24"/>
          <w:vertAlign w:val="superscript"/>
          <w:lang w:val="en-US" w:eastAsia="zh-CN"/>
        </w:rPr>
        <w:t>13</w:t>
      </w:r>
      <w:r>
        <w:rPr>
          <w:rFonts w:hint="eastAsia" w:ascii="宋体" w:hAnsi="宋体" w:eastAsia="宋体" w:cs="宋体"/>
          <w:sz w:val="24"/>
          <w:szCs w:val="24"/>
          <w:lang w:val="en-US" w:eastAsia="zh-CN"/>
        </w:rPr>
        <w:t>将氟噻草胺列为候选替代品。鉴于氟噻草胺的批准不再续期，将其列入清单已不再相关。因此，氟噻草胺应从（</w:t>
      </w:r>
      <w:r>
        <w:rPr>
          <w:rFonts w:ascii="宋体" w:hAnsi="宋体" w:eastAsia="宋体" w:cs="宋体"/>
          <w:sz w:val="24"/>
          <w:szCs w:val="24"/>
          <w:lang w:val="en-US" w:eastAsia="zh-CN"/>
        </w:rPr>
        <w:t>EU）2015/408号执行法规附件中删除。</w:t>
      </w:r>
    </w:p>
    <w:p w14:paraId="79BF387E">
      <w:pPr>
        <w:pStyle w:val="8"/>
        <w:numPr>
          <w:ilvl w:val="0"/>
          <w:numId w:val="1"/>
        </w:numPr>
        <w:tabs>
          <w:tab w:val="left" w:pos="825"/>
        </w:tabs>
        <w:ind w:right="117"/>
        <w:jc w:val="both"/>
        <w:rPr>
          <w:sz w:val="24"/>
          <w:lang w:val="en-US" w:eastAsia="zh-CN"/>
        </w:rPr>
      </w:pPr>
      <w:r>
        <w:rPr>
          <w:rFonts w:hint="eastAsia" w:ascii="宋体" w:hAnsi="宋体" w:eastAsia="宋体" w:cs="宋体"/>
          <w:sz w:val="24"/>
          <w:szCs w:val="24"/>
          <w:lang w:val="en-US" w:eastAsia="zh-CN"/>
        </w:rPr>
        <w:t>应给予成员国足够的时间撤回对含有氟噻草胺的植物保护产品的授权。</w:t>
      </w:r>
    </w:p>
    <w:p w14:paraId="605B04EB">
      <w:pPr>
        <w:pStyle w:val="8"/>
        <w:numPr>
          <w:ilvl w:val="0"/>
          <w:numId w:val="1"/>
        </w:numPr>
        <w:tabs>
          <w:tab w:val="left" w:pos="825"/>
        </w:tabs>
        <w:ind w:right="113"/>
        <w:jc w:val="both"/>
        <w:rPr>
          <w:sz w:val="24"/>
          <w:lang w:val="en-US" w:eastAsia="zh-CN"/>
        </w:rPr>
      </w:pPr>
      <w:r>
        <w:rPr>
          <w:rFonts w:hint="eastAsia" w:ascii="宋体" w:hAnsi="宋体" w:eastAsia="宋体" w:cs="宋体"/>
          <w:sz w:val="24"/>
          <w:szCs w:val="24"/>
          <w:lang w:val="en-US" w:eastAsia="zh-CN"/>
        </w:rPr>
        <w:t>对于含有氟噻草胺的植物保护产品，如果成员国根据（</w:t>
      </w:r>
      <w:r>
        <w:rPr>
          <w:sz w:val="24"/>
          <w:szCs w:val="24"/>
          <w:lang w:val="en-US" w:eastAsia="zh-CN"/>
        </w:rPr>
        <w:t>EC</w:t>
      </w:r>
      <w:r>
        <w:rPr>
          <w:rFonts w:hint="eastAsia" w:ascii="宋体" w:hAnsi="宋体" w:eastAsia="宋体" w:cs="宋体"/>
          <w:sz w:val="24"/>
          <w:szCs w:val="24"/>
          <w:lang w:val="en-US" w:eastAsia="zh-CN"/>
        </w:rPr>
        <w:t>）第</w:t>
      </w:r>
      <w:r>
        <w:rPr>
          <w:sz w:val="24"/>
          <w:szCs w:val="24"/>
          <w:lang w:val="en-US" w:eastAsia="zh-CN"/>
        </w:rPr>
        <w:t>1107/2009</w:t>
      </w:r>
      <w:r>
        <w:rPr>
          <w:rFonts w:hint="eastAsia" w:ascii="宋体" w:hAnsi="宋体" w:eastAsia="宋体" w:cs="宋体"/>
          <w:sz w:val="24"/>
          <w:szCs w:val="24"/>
          <w:lang w:val="en-US" w:eastAsia="zh-CN"/>
        </w:rPr>
        <w:t>号法规第</w:t>
      </w:r>
      <w:r>
        <w:rPr>
          <w:sz w:val="24"/>
          <w:szCs w:val="24"/>
          <w:lang w:val="en-US" w:eastAsia="zh-CN"/>
        </w:rPr>
        <w:t>46</w:t>
      </w:r>
      <w:r>
        <w:rPr>
          <w:rFonts w:hint="eastAsia" w:ascii="宋体" w:hAnsi="宋体" w:eastAsia="宋体" w:cs="宋体"/>
          <w:sz w:val="24"/>
          <w:szCs w:val="24"/>
          <w:lang w:val="en-US" w:eastAsia="zh-CN"/>
        </w:rPr>
        <w:t>条给予任何宽限期，则该宽限期自本法规生效之日起不得超过</w:t>
      </w:r>
      <w:r>
        <w:rPr>
          <w:sz w:val="24"/>
          <w:szCs w:val="24"/>
          <w:lang w:val="en-US" w:eastAsia="zh-CN"/>
        </w:rPr>
        <w:t>12</w:t>
      </w:r>
      <w:r>
        <w:rPr>
          <w:rFonts w:hint="eastAsia" w:ascii="宋体" w:hAnsi="宋体" w:eastAsia="宋体" w:cs="宋体"/>
          <w:sz w:val="24"/>
          <w:szCs w:val="24"/>
          <w:lang w:val="en-US" w:eastAsia="zh-CN"/>
        </w:rPr>
        <w:t>个月。</w:t>
      </w:r>
    </w:p>
    <w:p w14:paraId="04067664">
      <w:pPr>
        <w:pStyle w:val="8"/>
        <w:numPr>
          <w:ilvl w:val="0"/>
          <w:numId w:val="1"/>
        </w:numPr>
        <w:tabs>
          <w:tab w:val="left" w:pos="825"/>
        </w:tabs>
        <w:spacing w:before="121"/>
        <w:ind w:right="112"/>
        <w:jc w:val="both"/>
        <w:rPr>
          <w:sz w:val="24"/>
          <w:lang w:val="en-US" w:eastAsia="zh-CN"/>
        </w:rPr>
      </w:pPr>
      <w:r>
        <w:rPr>
          <w:rFonts w:hint="eastAsia" w:ascii="宋体" w:hAnsi="宋体" w:eastAsia="宋体" w:cs="宋体"/>
          <w:sz w:val="24"/>
          <w:szCs w:val="24"/>
          <w:lang w:val="en-US" w:eastAsia="zh-CN"/>
        </w:rPr>
        <w:t>欧盟委员会（</w:t>
      </w:r>
      <w:r>
        <w:rPr>
          <w:sz w:val="24"/>
          <w:szCs w:val="24"/>
          <w:lang w:val="en-US" w:eastAsia="zh-CN"/>
        </w:rPr>
        <w:t>EU</w:t>
      </w:r>
      <w:r>
        <w:rPr>
          <w:rFonts w:hint="eastAsia" w:ascii="宋体" w:hAnsi="宋体" w:eastAsia="宋体" w:cs="宋体"/>
          <w:sz w:val="24"/>
          <w:szCs w:val="24"/>
          <w:lang w:val="en-US" w:eastAsia="zh-CN"/>
        </w:rPr>
        <w:t>）第</w:t>
      </w:r>
      <w:r>
        <w:rPr>
          <w:sz w:val="24"/>
          <w:szCs w:val="24"/>
          <w:lang w:val="en-US" w:eastAsia="zh-CN"/>
        </w:rPr>
        <w:t>2023/1757</w:t>
      </w:r>
      <w:r>
        <w:rPr>
          <w:rFonts w:hint="eastAsia" w:ascii="宋体" w:hAnsi="宋体" w:eastAsia="宋体" w:cs="宋体"/>
          <w:sz w:val="24"/>
          <w:szCs w:val="24"/>
          <w:lang w:val="en-US" w:eastAsia="zh-CN"/>
        </w:rPr>
        <w:t>号执行法规</w:t>
      </w:r>
      <w:r>
        <w:rPr>
          <w:rFonts w:ascii="宋体" w:hAnsi="宋体" w:eastAsia="宋体" w:cs="宋体"/>
          <w:sz w:val="24"/>
          <w:szCs w:val="24"/>
          <w:vertAlign w:val="superscript"/>
          <w:lang w:val="en-US" w:eastAsia="zh-CN"/>
        </w:rPr>
        <w:t>14</w:t>
      </w:r>
      <w:r>
        <w:rPr>
          <w:rFonts w:hint="eastAsia" w:ascii="宋体" w:hAnsi="宋体" w:eastAsia="宋体" w:cs="宋体"/>
          <w:sz w:val="24"/>
          <w:szCs w:val="24"/>
          <w:lang w:val="en-US" w:eastAsia="zh-CN"/>
        </w:rPr>
        <w:t>将氟噻草胺的批准期延长至</w:t>
      </w:r>
      <w:r>
        <w:rPr>
          <w:rFonts w:ascii="宋体" w:hAnsi="宋体" w:eastAsia="宋体" w:cs="宋体"/>
          <w:sz w:val="24"/>
          <w:szCs w:val="24"/>
          <w:lang w:val="en-US" w:eastAsia="zh-CN"/>
        </w:rPr>
        <w:t>2025年6月15日，以便在该活性物质的批准期到期之前完成更新程序。然而，鉴于不续期批准的决定是在延长批准期限到期之前做出的，本法规应早于该日期适用。</w:t>
      </w:r>
    </w:p>
    <w:p w14:paraId="43AC8B63">
      <w:pPr>
        <w:pStyle w:val="8"/>
        <w:numPr>
          <w:ilvl w:val="0"/>
          <w:numId w:val="1"/>
        </w:numPr>
        <w:tabs>
          <w:tab w:val="left" w:pos="825"/>
        </w:tabs>
        <w:ind w:right="117"/>
        <w:jc w:val="both"/>
        <w:rPr>
          <w:sz w:val="24"/>
          <w:lang w:val="en-US" w:eastAsia="zh-CN"/>
        </w:rPr>
      </w:pPr>
      <w:r>
        <w:rPr>
          <w:rFonts w:hint="eastAsia" w:ascii="宋体" w:hAnsi="宋体" w:eastAsia="宋体" w:cs="宋体"/>
          <w:sz w:val="24"/>
          <w:szCs w:val="24"/>
          <w:lang w:val="en-US" w:eastAsia="zh-CN"/>
        </w:rPr>
        <w:t>本法规不阻止根据（</w:t>
      </w:r>
      <w:r>
        <w:rPr>
          <w:sz w:val="24"/>
          <w:szCs w:val="24"/>
          <w:lang w:val="en-US" w:eastAsia="zh-CN"/>
        </w:rPr>
        <w:t>EC</w:t>
      </w:r>
      <w:r>
        <w:rPr>
          <w:rFonts w:hint="eastAsia" w:ascii="宋体" w:hAnsi="宋体" w:eastAsia="宋体" w:cs="宋体"/>
          <w:sz w:val="24"/>
          <w:szCs w:val="24"/>
          <w:lang w:val="en-US" w:eastAsia="zh-CN"/>
        </w:rPr>
        <w:t>）第</w:t>
      </w:r>
      <w:r>
        <w:rPr>
          <w:sz w:val="24"/>
          <w:szCs w:val="24"/>
          <w:lang w:val="en-US" w:eastAsia="zh-CN"/>
        </w:rPr>
        <w:t>1107/2009</w:t>
      </w:r>
      <w:r>
        <w:rPr>
          <w:rFonts w:hint="eastAsia" w:ascii="宋体" w:hAnsi="宋体" w:eastAsia="宋体" w:cs="宋体"/>
          <w:sz w:val="24"/>
          <w:szCs w:val="24"/>
          <w:lang w:val="en-US" w:eastAsia="zh-CN"/>
        </w:rPr>
        <w:t>号法规第</w:t>
      </w:r>
      <w:r>
        <w:rPr>
          <w:sz w:val="24"/>
          <w:szCs w:val="24"/>
          <w:lang w:val="en-US" w:eastAsia="zh-CN"/>
        </w:rPr>
        <w:t>7</w:t>
      </w:r>
      <w:r>
        <w:rPr>
          <w:rFonts w:hint="eastAsia" w:ascii="宋体" w:hAnsi="宋体" w:eastAsia="宋体" w:cs="宋体"/>
          <w:sz w:val="24"/>
          <w:szCs w:val="24"/>
          <w:lang w:val="en-US" w:eastAsia="zh-CN"/>
        </w:rPr>
        <w:t>条提交另一份氟噻草胺批准申请。</w:t>
      </w:r>
    </w:p>
    <w:p w14:paraId="685057D5">
      <w:pPr>
        <w:pStyle w:val="8"/>
        <w:numPr>
          <w:ilvl w:val="0"/>
          <w:numId w:val="1"/>
        </w:numPr>
        <w:tabs>
          <w:tab w:val="left" w:pos="825"/>
        </w:tabs>
        <w:ind w:right="118"/>
        <w:jc w:val="both"/>
        <w:rPr>
          <w:sz w:val="24"/>
          <w:lang w:val="en-US" w:eastAsia="zh-CN"/>
        </w:rPr>
      </w:pPr>
      <w:r>
        <w:rPr>
          <w:rFonts w:hint="eastAsia" w:ascii="宋体" w:hAnsi="宋体" w:eastAsia="宋体" w:cs="宋体"/>
          <w:sz w:val="24"/>
          <w:szCs w:val="24"/>
          <w:lang w:val="en-US" w:eastAsia="zh-CN"/>
        </w:rPr>
        <w:t>本条例规定的措施符合植物、动物、食品和饲料常务委员会的意见，</w:t>
      </w:r>
    </w:p>
    <w:p w14:paraId="13B1468F">
      <w:pPr>
        <w:pStyle w:val="2"/>
        <w:ind w:left="116"/>
        <w:rPr>
          <w:lang w:val="en-US" w:eastAsia="zh-CN"/>
        </w:rPr>
      </w:pPr>
      <w:r>
        <w:rPr>
          <w:rFonts w:hint="eastAsia" w:ascii="宋体" w:hAnsi="宋体" w:eastAsia="宋体" w:cs="宋体"/>
          <w:lang w:val="en-US" w:eastAsia="zh-CN"/>
        </w:rPr>
        <w:t>通过了本法规</w:t>
      </w:r>
      <w:r>
        <w:rPr>
          <w:lang w:val="en-US" w:eastAsia="zh-CN"/>
        </w:rPr>
        <w:t>:</w:t>
      </w:r>
    </w:p>
    <w:p w14:paraId="3C8BFAB1">
      <w:pPr>
        <w:pStyle w:val="2"/>
        <w:spacing w:before="4"/>
        <w:rPr>
          <w:sz w:val="31"/>
          <w:lang w:val="en-US" w:eastAsia="zh-CN"/>
        </w:rPr>
      </w:pPr>
    </w:p>
    <w:p w14:paraId="24ACCAC5">
      <w:pPr>
        <w:ind w:left="113" w:right="113"/>
        <w:jc w:val="center"/>
        <w:rPr>
          <w:i/>
          <w:sz w:val="24"/>
          <w:lang w:val="en-US" w:eastAsia="zh-CN"/>
        </w:rPr>
      </w:pPr>
      <w:r>
        <w:rPr>
          <w:rFonts w:hint="eastAsia" w:ascii="宋体" w:hAnsi="宋体" w:eastAsia="宋体" w:cs="宋体"/>
          <w:i/>
          <w:sz w:val="24"/>
          <w:szCs w:val="24"/>
          <w:lang w:val="en-US" w:eastAsia="zh-CN"/>
        </w:rPr>
        <w:t>第</w:t>
      </w:r>
      <w:r>
        <w:rPr>
          <w:i/>
          <w:sz w:val="24"/>
          <w:szCs w:val="24"/>
          <w:lang w:val="en-US" w:eastAsia="zh-CN"/>
        </w:rPr>
        <w:t>1</w:t>
      </w:r>
      <w:r>
        <w:rPr>
          <w:rFonts w:hint="eastAsia" w:ascii="宋体" w:hAnsi="宋体" w:eastAsia="宋体" w:cs="宋体"/>
          <w:i/>
          <w:sz w:val="24"/>
          <w:szCs w:val="24"/>
          <w:lang w:val="en-US" w:eastAsia="zh-CN"/>
        </w:rPr>
        <w:t>条</w:t>
      </w:r>
    </w:p>
    <w:p w14:paraId="15F44A93">
      <w:pPr>
        <w:ind w:left="113" w:right="113"/>
        <w:jc w:val="center"/>
        <w:rPr>
          <w:b/>
          <w:sz w:val="24"/>
          <w:lang w:val="en-US" w:eastAsia="zh-CN"/>
        </w:rPr>
      </w:pPr>
      <w:r>
        <w:rPr>
          <w:rFonts w:hint="eastAsia" w:ascii="宋体" w:hAnsi="宋体" w:eastAsia="宋体" w:cs="宋体"/>
          <w:b/>
          <w:sz w:val="24"/>
          <w:szCs w:val="24"/>
          <w:lang w:val="en-US" w:eastAsia="zh-CN"/>
        </w:rPr>
        <w:t>不再批准活性物质</w:t>
      </w:r>
    </w:p>
    <w:p w14:paraId="373BFC9E">
      <w:pPr>
        <w:pStyle w:val="2"/>
        <w:ind w:left="113" w:right="3135"/>
        <w:jc w:val="center"/>
        <w:rPr>
          <w:lang w:val="en-US" w:eastAsia="zh-CN"/>
        </w:rPr>
      </w:pPr>
      <w:r>
        <w:rPr>
          <w:rFonts w:hint="eastAsia" w:ascii="宋体" w:hAnsi="宋体" w:eastAsia="宋体" w:cs="宋体"/>
          <w:lang w:val="en-US" w:eastAsia="zh-CN"/>
        </w:rPr>
        <w:t>活性物质氟噻草胺的批准不再续期。</w:t>
      </w:r>
    </w:p>
    <w:p w14:paraId="4076D7EB">
      <w:pPr>
        <w:pStyle w:val="2"/>
        <w:spacing w:before="3"/>
        <w:rPr>
          <w:sz w:val="31"/>
          <w:lang w:val="en-US" w:eastAsia="zh-CN"/>
        </w:rPr>
      </w:pPr>
    </w:p>
    <w:p w14:paraId="534B3B3D">
      <w:pPr>
        <w:ind w:left="113" w:right="113"/>
        <w:jc w:val="center"/>
        <w:rPr>
          <w:i/>
          <w:sz w:val="24"/>
          <w:lang w:val="en-US" w:eastAsia="zh-CN"/>
        </w:rPr>
      </w:pPr>
      <w:r>
        <w:rPr>
          <w:rFonts w:hint="eastAsia" w:ascii="宋体" w:hAnsi="宋体" w:eastAsia="宋体" w:cs="宋体"/>
          <w:i/>
          <w:sz w:val="24"/>
          <w:szCs w:val="24"/>
          <w:lang w:val="en-US" w:eastAsia="zh-CN"/>
        </w:rPr>
        <w:t>第</w:t>
      </w:r>
      <w:r>
        <w:rPr>
          <w:i/>
          <w:sz w:val="24"/>
          <w:szCs w:val="24"/>
          <w:lang w:val="en-US" w:eastAsia="zh-CN"/>
        </w:rPr>
        <w:t>2</w:t>
      </w:r>
      <w:r>
        <w:rPr>
          <w:rFonts w:hint="eastAsia" w:ascii="宋体" w:hAnsi="宋体" w:eastAsia="宋体" w:cs="宋体"/>
          <w:i/>
          <w:sz w:val="24"/>
          <w:szCs w:val="24"/>
          <w:lang w:val="en-US" w:eastAsia="zh-CN"/>
        </w:rPr>
        <w:t>条</w:t>
      </w:r>
    </w:p>
    <w:p w14:paraId="7FD9B2DF">
      <w:pPr>
        <w:ind w:left="113" w:right="115"/>
        <w:jc w:val="center"/>
        <w:rPr>
          <w:b/>
          <w:sz w:val="24"/>
          <w:lang w:val="en-US" w:eastAsia="zh-CN"/>
        </w:rPr>
      </w:pPr>
      <w:r>
        <w:rPr>
          <w:rFonts w:hint="eastAsia" w:ascii="宋体" w:hAnsi="宋体" w:eastAsia="宋体" w:cs="宋体"/>
          <w:b/>
          <w:sz w:val="24"/>
          <w:szCs w:val="24"/>
          <w:lang w:val="en-US" w:eastAsia="zh-CN"/>
        </w:rPr>
        <w:t>第</w:t>
      </w:r>
      <w:r>
        <w:rPr>
          <w:b/>
          <w:sz w:val="24"/>
          <w:szCs w:val="24"/>
          <w:lang w:val="en-US" w:eastAsia="zh-CN"/>
        </w:rPr>
        <w:t>540/2011</w:t>
      </w:r>
      <w:r>
        <w:rPr>
          <w:rFonts w:hint="eastAsia" w:ascii="宋体" w:hAnsi="宋体" w:eastAsia="宋体" w:cs="宋体"/>
          <w:b/>
          <w:sz w:val="24"/>
          <w:szCs w:val="24"/>
          <w:lang w:val="en-US" w:eastAsia="zh-CN"/>
        </w:rPr>
        <w:t>号执行法规（</w:t>
      </w:r>
      <w:r>
        <w:rPr>
          <w:b/>
          <w:sz w:val="24"/>
          <w:szCs w:val="24"/>
          <w:lang w:val="en-US" w:eastAsia="zh-CN"/>
        </w:rPr>
        <w:t>EU</w:t>
      </w:r>
      <w:r>
        <w:rPr>
          <w:rFonts w:hint="eastAsia" w:ascii="宋体" w:hAnsi="宋体" w:eastAsia="宋体" w:cs="宋体"/>
          <w:b/>
          <w:sz w:val="24"/>
          <w:szCs w:val="24"/>
          <w:lang w:val="en-US" w:eastAsia="zh-CN"/>
        </w:rPr>
        <w:t>）修正案</w:t>
      </w:r>
    </w:p>
    <w:p w14:paraId="7950BA6B">
      <w:pPr>
        <w:pStyle w:val="2"/>
        <w:spacing w:before="121"/>
        <w:ind w:left="116" w:right="24" w:firstLine="1200" w:firstLineChars="500"/>
        <w:rPr>
          <w:lang w:val="en-US" w:eastAsia="zh-CN"/>
        </w:rPr>
      </w:pPr>
      <w:bookmarkStart w:id="0" w:name="_GoBack"/>
      <w:bookmarkEnd w:id="0"/>
      <w:r>
        <w:rPr>
          <w:rFonts w:hint="eastAsia" w:ascii="宋体" w:hAnsi="宋体" w:eastAsia="宋体" w:cs="宋体"/>
          <w:lang w:val="en-US" w:eastAsia="zh-CN"/>
        </w:rPr>
        <w:t>删除第</w:t>
      </w:r>
      <w:r>
        <w:rPr>
          <w:lang w:val="en-US" w:eastAsia="zh-CN"/>
        </w:rPr>
        <w:t>540/2011</w:t>
      </w:r>
      <w:r>
        <w:rPr>
          <w:rFonts w:hint="eastAsia" w:ascii="宋体" w:hAnsi="宋体" w:eastAsia="宋体" w:cs="宋体"/>
          <w:lang w:val="en-US" w:eastAsia="zh-CN"/>
        </w:rPr>
        <w:t>号执行法规（</w:t>
      </w:r>
      <w:r>
        <w:rPr>
          <w:lang w:val="en-US" w:eastAsia="zh-CN"/>
        </w:rPr>
        <w:t>EU</w:t>
      </w:r>
      <w:r>
        <w:rPr>
          <w:rFonts w:hint="eastAsia" w:ascii="宋体" w:hAnsi="宋体" w:eastAsia="宋体" w:cs="宋体"/>
          <w:lang w:val="en-US" w:eastAsia="zh-CN"/>
        </w:rPr>
        <w:t>）附件</w:t>
      </w:r>
      <w:r>
        <w:rPr>
          <w:lang w:val="en-US" w:eastAsia="zh-CN"/>
        </w:rPr>
        <w:t>A</w:t>
      </w:r>
      <w:r>
        <w:rPr>
          <w:rFonts w:hint="eastAsia" w:ascii="宋体" w:hAnsi="宋体" w:eastAsia="宋体" w:cs="宋体"/>
          <w:lang w:val="en-US" w:eastAsia="zh-CN"/>
        </w:rPr>
        <w:t>部分第</w:t>
      </w:r>
      <w:r>
        <w:rPr>
          <w:lang w:val="en-US" w:eastAsia="zh-CN"/>
        </w:rPr>
        <w:t>65</w:t>
      </w:r>
      <w:r>
        <w:rPr>
          <w:rFonts w:hint="eastAsia" w:ascii="宋体" w:hAnsi="宋体" w:eastAsia="宋体" w:cs="宋体"/>
          <w:lang w:val="en-US" w:eastAsia="zh-CN"/>
        </w:rPr>
        <w:t>行关于氟噻草胺。</w:t>
      </w:r>
    </w:p>
    <w:p w14:paraId="6CA7B9BF">
      <w:pPr>
        <w:pStyle w:val="2"/>
        <w:spacing w:before="3"/>
        <w:rPr>
          <w:sz w:val="23"/>
          <w:lang w:val="en-US" w:eastAsia="zh-CN"/>
        </w:rPr>
      </w:pPr>
      <w:r>
        <w:pict>
          <v:rect id="docshape9" o:spid="_x0000_s2050" o:spt="1" style="position:absolute;left:0pt;margin-left:70.8pt;margin-top:14.6pt;height:0.6pt;width:144pt;mso-position-horizontal-relative:page;mso-wrap-distance-bottom:0pt;mso-wrap-distance-top:0pt;z-index:-251651072;mso-width-relative:page;mso-height-relative:page;" fillcolor="#000000" filled="t" stroked="f" coordsize="21600,21600">
            <v:path/>
            <v:fill on="t" focussize="0,0"/>
            <v:stroke on="f"/>
            <v:imagedata o:title=""/>
            <o:lock v:ext="edit"/>
            <w10:wrap type="topAndBottom"/>
          </v:rect>
        </w:pict>
      </w:r>
    </w:p>
    <w:p w14:paraId="01078F9C">
      <w:pPr>
        <w:tabs>
          <w:tab w:val="left" w:pos="836"/>
        </w:tabs>
        <w:spacing w:before="103"/>
        <w:ind w:left="836" w:right="122" w:hanging="720"/>
        <w:jc w:val="both"/>
        <w:rPr>
          <w:sz w:val="20"/>
          <w:lang w:val="en-US" w:eastAsia="zh-CN"/>
        </w:rPr>
      </w:pPr>
      <w:r>
        <w:rPr>
          <w:spacing w:val="-6"/>
          <w:sz w:val="20"/>
          <w:vertAlign w:val="superscript"/>
          <w:lang w:val="en-US" w:eastAsia="zh-CN"/>
        </w:rPr>
        <w:t>13</w:t>
      </w:r>
      <w:r>
        <w:rPr>
          <w:sz w:val="20"/>
          <w:lang w:val="en-US" w:eastAsia="zh-CN"/>
        </w:rPr>
        <w:tab/>
      </w:r>
      <w:r>
        <w:rPr>
          <w:sz w:val="20"/>
          <w:szCs w:val="20"/>
          <w:lang w:val="en-US" w:eastAsia="zh-CN"/>
        </w:rPr>
        <w:t>2015</w:t>
      </w:r>
      <w:r>
        <w:rPr>
          <w:rFonts w:hint="eastAsia" w:ascii="宋体" w:hAnsi="宋体" w:eastAsia="宋体" w:cs="宋体"/>
          <w:sz w:val="20"/>
          <w:szCs w:val="20"/>
          <w:lang w:val="en-US" w:eastAsia="zh-CN"/>
        </w:rPr>
        <w:t>年</w:t>
      </w:r>
      <w:r>
        <w:rPr>
          <w:sz w:val="20"/>
          <w:szCs w:val="20"/>
          <w:lang w:val="en-US" w:eastAsia="zh-CN"/>
        </w:rPr>
        <w:t>3</w:t>
      </w:r>
      <w:r>
        <w:rPr>
          <w:rFonts w:hint="eastAsia" w:ascii="宋体" w:hAnsi="宋体" w:eastAsia="宋体" w:cs="宋体"/>
          <w:sz w:val="20"/>
          <w:szCs w:val="20"/>
          <w:lang w:val="en-US" w:eastAsia="zh-CN"/>
        </w:rPr>
        <w:t>月</w:t>
      </w:r>
      <w:r>
        <w:rPr>
          <w:sz w:val="20"/>
          <w:szCs w:val="20"/>
          <w:lang w:val="en-US" w:eastAsia="zh-CN"/>
        </w:rPr>
        <w:t>11</w:t>
      </w:r>
      <w:r>
        <w:rPr>
          <w:rFonts w:hint="eastAsia" w:ascii="宋体" w:hAnsi="宋体" w:eastAsia="宋体" w:cs="宋体"/>
          <w:sz w:val="20"/>
          <w:szCs w:val="20"/>
          <w:lang w:val="en-US" w:eastAsia="zh-CN"/>
        </w:rPr>
        <w:t>日欧盟委员会法规实施细则</w:t>
      </w:r>
      <w:r>
        <w:rPr>
          <w:sz w:val="20"/>
          <w:szCs w:val="20"/>
          <w:lang w:val="en-US" w:eastAsia="zh-CN"/>
        </w:rPr>
        <w:t>(EU)2015/408</w:t>
      </w:r>
      <w:r>
        <w:rPr>
          <w:rFonts w:hint="eastAsia" w:ascii="宋体" w:hAnsi="宋体" w:eastAsia="宋体" w:cs="宋体"/>
          <w:sz w:val="20"/>
          <w:szCs w:val="20"/>
          <w:lang w:val="en-US" w:eastAsia="zh-CN"/>
        </w:rPr>
        <w:t>关于执行欧洲议会和理事会法规</w:t>
      </w:r>
      <w:r>
        <w:rPr>
          <w:sz w:val="20"/>
          <w:szCs w:val="20"/>
          <w:lang w:val="en-US" w:eastAsia="zh-CN"/>
        </w:rPr>
        <w:t>(EC)No1107/2009</w:t>
      </w:r>
      <w:r>
        <w:rPr>
          <w:rFonts w:hint="eastAsia" w:ascii="宋体" w:hAnsi="宋体" w:eastAsia="宋体" w:cs="宋体"/>
          <w:sz w:val="20"/>
          <w:szCs w:val="20"/>
          <w:lang w:val="en-US" w:eastAsia="zh-CN"/>
        </w:rPr>
        <w:t>关于植物保护产品上市和建立替代候选名单的第</w:t>
      </w:r>
      <w:r>
        <w:rPr>
          <w:sz w:val="20"/>
          <w:szCs w:val="20"/>
          <w:lang w:val="en-US" w:eastAsia="zh-CN"/>
        </w:rPr>
        <w:t>80(7)</w:t>
      </w:r>
      <w:r>
        <w:rPr>
          <w:rFonts w:hint="eastAsia" w:ascii="宋体" w:hAnsi="宋体" w:eastAsia="宋体" w:cs="宋体"/>
          <w:sz w:val="20"/>
          <w:szCs w:val="20"/>
          <w:lang w:val="en-US" w:eastAsia="zh-CN"/>
        </w:rPr>
        <w:t>条</w:t>
      </w:r>
      <w:r>
        <w:rPr>
          <w:sz w:val="20"/>
          <w:szCs w:val="20"/>
          <w:lang w:val="en-US" w:eastAsia="zh-CN"/>
        </w:rPr>
        <w:t>(OJL67,12.3.20 15,p.18,ELI:</w:t>
      </w:r>
      <w:r>
        <w:fldChar w:fldCharType="begin"/>
      </w:r>
      <w:r>
        <w:instrText xml:space="preserve"> HYPERLINK "http://data.europa.eu/eli/reg_impl/2015/408/oj" \h </w:instrText>
      </w:r>
      <w:r>
        <w:fldChar w:fldCharType="separate"/>
      </w:r>
      <w:r>
        <w:rPr>
          <w:color w:val="0000FF"/>
          <w:sz w:val="20"/>
          <w:u w:val="single" w:color="0000FF"/>
          <w:lang w:val="en-US" w:eastAsia="zh-CN"/>
        </w:rPr>
        <w:t>http://data.europa.eu/eli/reg_impl/2015/408/oj</w:t>
      </w:r>
      <w:r>
        <w:rPr>
          <w:color w:val="0000FF"/>
          <w:sz w:val="20"/>
          <w:u w:val="single" w:color="0000FF"/>
          <w:lang w:val="en-US" w:eastAsia="zh-CN"/>
        </w:rPr>
        <w:fldChar w:fldCharType="end"/>
      </w:r>
      <w:r>
        <w:rPr>
          <w:sz w:val="20"/>
          <w:lang w:val="en-US" w:eastAsia="zh-CN"/>
        </w:rPr>
        <w:t>).</w:t>
      </w:r>
    </w:p>
    <w:p w14:paraId="3CAE25C4">
      <w:pPr>
        <w:tabs>
          <w:tab w:val="left" w:pos="836"/>
        </w:tabs>
        <w:spacing w:line="268" w:lineRule="exact"/>
        <w:ind w:left="836" w:hanging="720"/>
        <w:jc w:val="both"/>
        <w:rPr>
          <w:sz w:val="20"/>
          <w:lang w:val="en-US" w:eastAsia="zh-CN"/>
        </w:rPr>
      </w:pPr>
      <w:r>
        <w:rPr>
          <w:spacing w:val="-5"/>
          <w:position w:val="9"/>
          <w:sz w:val="16"/>
          <w:lang w:val="en-US" w:eastAsia="zh-CN"/>
        </w:rPr>
        <w:t>14</w:t>
      </w:r>
      <w:r>
        <w:rPr>
          <w:position w:val="9"/>
          <w:sz w:val="16"/>
          <w:lang w:val="en-US" w:eastAsia="zh-CN"/>
        </w:rPr>
        <w:tab/>
      </w:r>
      <w:r>
        <w:rPr>
          <w:sz w:val="20"/>
          <w:szCs w:val="20"/>
          <w:lang w:val="en-US" w:eastAsia="zh-CN"/>
        </w:rPr>
        <w:t>2023</w:t>
      </w:r>
      <w:r>
        <w:rPr>
          <w:rFonts w:hint="eastAsia" w:ascii="宋体" w:hAnsi="宋体" w:eastAsia="宋体" w:cs="宋体"/>
          <w:sz w:val="20"/>
          <w:szCs w:val="20"/>
          <w:lang w:val="en-US" w:eastAsia="zh-CN"/>
        </w:rPr>
        <w:t>年</w:t>
      </w:r>
      <w:r>
        <w:rPr>
          <w:sz w:val="20"/>
          <w:szCs w:val="20"/>
          <w:lang w:val="en-US" w:eastAsia="zh-CN"/>
        </w:rPr>
        <w:t>9</w:t>
      </w:r>
      <w:r>
        <w:rPr>
          <w:rFonts w:hint="eastAsia" w:ascii="宋体" w:hAnsi="宋体" w:eastAsia="宋体" w:cs="宋体"/>
          <w:sz w:val="20"/>
          <w:szCs w:val="20"/>
          <w:lang w:val="en-US" w:eastAsia="zh-CN"/>
        </w:rPr>
        <w:t>月</w:t>
      </w:r>
      <w:r>
        <w:rPr>
          <w:sz w:val="20"/>
          <w:szCs w:val="20"/>
          <w:lang w:val="en-US" w:eastAsia="zh-CN"/>
        </w:rPr>
        <w:t>11</w:t>
      </w:r>
      <w:r>
        <w:rPr>
          <w:rFonts w:hint="eastAsia" w:ascii="宋体" w:hAnsi="宋体" w:eastAsia="宋体" w:cs="宋体"/>
          <w:sz w:val="20"/>
          <w:szCs w:val="20"/>
          <w:lang w:val="en-US" w:eastAsia="zh-CN"/>
        </w:rPr>
        <w:t>日欧盟委员会（</w:t>
      </w:r>
      <w:r>
        <w:rPr>
          <w:sz w:val="20"/>
          <w:szCs w:val="20"/>
          <w:lang w:val="en-US" w:eastAsia="zh-CN"/>
        </w:rPr>
        <w:t>EU</w:t>
      </w:r>
      <w:r>
        <w:rPr>
          <w:rFonts w:hint="eastAsia" w:ascii="宋体" w:hAnsi="宋体" w:eastAsia="宋体" w:cs="宋体"/>
          <w:sz w:val="20"/>
          <w:szCs w:val="20"/>
          <w:lang w:val="en-US" w:eastAsia="zh-CN"/>
        </w:rPr>
        <w:t>）第</w:t>
      </w:r>
      <w:r>
        <w:rPr>
          <w:sz w:val="20"/>
          <w:szCs w:val="20"/>
          <w:lang w:val="en-US" w:eastAsia="zh-CN"/>
        </w:rPr>
        <w:t>2023/1757</w:t>
      </w:r>
      <w:r>
        <w:rPr>
          <w:rFonts w:hint="eastAsia" w:ascii="宋体" w:hAnsi="宋体" w:eastAsia="宋体" w:cs="宋体"/>
          <w:sz w:val="20"/>
          <w:szCs w:val="20"/>
          <w:lang w:val="en-US" w:eastAsia="zh-CN"/>
        </w:rPr>
        <w:t>号实施条例，修订了</w:t>
      </w:r>
    </w:p>
    <w:p w14:paraId="46F22A27">
      <w:pPr>
        <w:spacing w:before="8"/>
        <w:ind w:left="836" w:right="110"/>
        <w:jc w:val="both"/>
        <w:rPr>
          <w:sz w:val="20"/>
          <w:lang w:val="en-US" w:eastAsia="zh-CN"/>
        </w:rPr>
      </w:pPr>
      <w:r>
        <w:rPr>
          <w:rFonts w:hint="eastAsia" w:ascii="宋体" w:hAnsi="宋体" w:eastAsia="宋体" w:cs="宋体"/>
          <w:sz w:val="20"/>
          <w:szCs w:val="20"/>
          <w:lang w:val="en-US" w:eastAsia="zh-CN"/>
        </w:rPr>
        <w:t>（</w:t>
      </w:r>
      <w:r>
        <w:rPr>
          <w:sz w:val="20"/>
          <w:szCs w:val="20"/>
          <w:lang w:val="en-US" w:eastAsia="zh-CN"/>
        </w:rPr>
        <w:t>EU</w:t>
      </w:r>
      <w:r>
        <w:rPr>
          <w:rFonts w:hint="eastAsia" w:ascii="宋体" w:hAnsi="宋体" w:eastAsia="宋体" w:cs="宋体"/>
          <w:sz w:val="20"/>
          <w:szCs w:val="20"/>
          <w:lang w:val="en-US" w:eastAsia="zh-CN"/>
        </w:rPr>
        <w:t>）第</w:t>
      </w:r>
      <w:r>
        <w:rPr>
          <w:sz w:val="20"/>
          <w:szCs w:val="20"/>
          <w:lang w:val="en-US" w:eastAsia="zh-CN"/>
        </w:rPr>
        <w:t>540/2011</w:t>
      </w:r>
      <w:r>
        <w:rPr>
          <w:rFonts w:hint="eastAsia" w:ascii="宋体" w:hAnsi="宋体" w:eastAsia="宋体" w:cs="宋体"/>
          <w:sz w:val="20"/>
          <w:szCs w:val="20"/>
          <w:lang w:val="en-US" w:eastAsia="zh-CN"/>
        </w:rPr>
        <w:t>号法规，关于延长活性物质苄嘧磺隆、矮壮素、氯麦隆、异恶草酮、丁酰肼、溴氰菊酯、丁香酚、咯菌腈、氟噻嗪磷、香叶醇、</w:t>
      </w:r>
      <w:r>
        <w:rPr>
          <w:sz w:val="20"/>
          <w:szCs w:val="20"/>
          <w:lang w:val="en-US" w:eastAsia="zh-CN"/>
        </w:rPr>
        <w:t>MCPA</w:t>
      </w:r>
      <w:r>
        <w:rPr>
          <w:rFonts w:hint="eastAsia" w:ascii="宋体" w:hAnsi="宋体" w:eastAsia="宋体" w:cs="宋体"/>
          <w:sz w:val="20"/>
          <w:szCs w:val="20"/>
          <w:lang w:val="en-US" w:eastAsia="zh-CN"/>
        </w:rPr>
        <w:t>、</w:t>
      </w:r>
      <w:r>
        <w:rPr>
          <w:sz w:val="20"/>
          <w:szCs w:val="20"/>
          <w:lang w:val="en-US" w:eastAsia="zh-CN"/>
        </w:rPr>
        <w:t>MCPB</w:t>
      </w:r>
      <w:r>
        <w:rPr>
          <w:rFonts w:hint="eastAsia" w:ascii="宋体" w:hAnsi="宋体" w:eastAsia="宋体" w:cs="宋体"/>
          <w:sz w:val="20"/>
          <w:szCs w:val="20"/>
          <w:lang w:val="en-US" w:eastAsia="zh-CN"/>
        </w:rPr>
        <w:t>、</w:t>
      </w:r>
      <w:r>
        <w:rPr>
          <w:sz w:val="20"/>
          <w:szCs w:val="20"/>
          <w:lang w:val="en-US" w:eastAsia="zh-CN"/>
        </w:rPr>
        <w:t>propaquizafop</w:t>
      </w:r>
      <w:r>
        <w:rPr>
          <w:rFonts w:hint="eastAsia" w:ascii="宋体" w:hAnsi="宋体" w:eastAsia="宋体" w:cs="宋体"/>
          <w:sz w:val="20"/>
          <w:szCs w:val="20"/>
          <w:lang w:val="en-US" w:eastAsia="zh-CN"/>
        </w:rPr>
        <w:t>、</w:t>
      </w:r>
      <w:r>
        <w:rPr>
          <w:sz w:val="20"/>
          <w:szCs w:val="20"/>
          <w:lang w:val="en-US" w:eastAsia="zh-CN"/>
        </w:rPr>
        <w:t>prosulfocarb</w:t>
      </w:r>
      <w:r>
        <w:rPr>
          <w:rFonts w:hint="eastAsia" w:ascii="宋体" w:hAnsi="宋体" w:eastAsia="宋体" w:cs="宋体"/>
          <w:sz w:val="20"/>
          <w:szCs w:val="20"/>
          <w:lang w:val="en-US" w:eastAsia="zh-CN"/>
        </w:rPr>
        <w:t>、</w:t>
      </w:r>
      <w:r>
        <w:rPr>
          <w:sz w:val="20"/>
          <w:szCs w:val="20"/>
          <w:lang w:val="en-US" w:eastAsia="zh-CN"/>
        </w:rPr>
        <w:t>Quizalofop-p-ethyl</w:t>
      </w:r>
      <w:r>
        <w:rPr>
          <w:rFonts w:hint="eastAsia" w:ascii="宋体" w:hAnsi="宋体" w:eastAsia="宋体" w:cs="宋体"/>
          <w:sz w:val="20"/>
          <w:szCs w:val="20"/>
          <w:lang w:val="en-US" w:eastAsia="zh-CN"/>
        </w:rPr>
        <w:t>、</w:t>
      </w:r>
      <w:r>
        <w:rPr>
          <w:sz w:val="20"/>
          <w:szCs w:val="20"/>
          <w:lang w:val="en-US" w:eastAsia="zh-CN"/>
        </w:rPr>
        <w:t>quizalofop-P-tefuryl</w:t>
      </w:r>
      <w:r>
        <w:rPr>
          <w:rFonts w:hint="eastAsia" w:ascii="宋体" w:hAnsi="宋体" w:eastAsia="宋体" w:cs="宋体"/>
          <w:sz w:val="20"/>
          <w:szCs w:val="20"/>
          <w:lang w:val="en-US" w:eastAsia="zh-CN"/>
        </w:rPr>
        <w:t>、</w:t>
      </w:r>
      <w:r>
        <w:rPr>
          <w:sz w:val="20"/>
          <w:szCs w:val="20"/>
          <w:lang w:val="en-US" w:eastAsia="zh-CN"/>
        </w:rPr>
        <w:t>5-</w:t>
      </w:r>
      <w:r>
        <w:rPr>
          <w:rFonts w:hint="eastAsia" w:ascii="宋体" w:hAnsi="宋体" w:eastAsia="宋体" w:cs="宋体"/>
          <w:sz w:val="20"/>
          <w:szCs w:val="20"/>
          <w:lang w:val="en-US" w:eastAsia="zh-CN"/>
        </w:rPr>
        <w:t>硝基愈创木酸钠、邻硝基酚钠、对硝基酚钠、硫酰氟、吡虫胺、百里酚和三氟甲磺隆的审批期（</w:t>
      </w:r>
      <w:r>
        <w:rPr>
          <w:sz w:val="20"/>
          <w:szCs w:val="20"/>
          <w:lang w:val="en-US" w:eastAsia="zh-CN"/>
        </w:rPr>
        <w:t>OJL224,12.9.20 23,</w:t>
      </w:r>
      <w:r>
        <w:rPr>
          <w:rFonts w:hint="eastAsia" w:ascii="宋体" w:hAnsi="宋体" w:eastAsia="宋体" w:cs="宋体"/>
          <w:sz w:val="20"/>
          <w:szCs w:val="20"/>
          <w:lang w:val="en-US" w:eastAsia="zh-CN"/>
        </w:rPr>
        <w:t>第</w:t>
      </w:r>
      <w:r>
        <w:rPr>
          <w:sz w:val="20"/>
          <w:szCs w:val="20"/>
          <w:lang w:val="en-US" w:eastAsia="zh-CN"/>
        </w:rPr>
        <w:t>28</w:t>
      </w:r>
      <w:r>
        <w:rPr>
          <w:rFonts w:hint="eastAsia" w:ascii="宋体" w:hAnsi="宋体" w:eastAsia="宋体" w:cs="宋体"/>
          <w:sz w:val="20"/>
          <w:szCs w:val="20"/>
          <w:lang w:val="en-US" w:eastAsia="zh-CN"/>
        </w:rPr>
        <w:t>页，</w:t>
      </w:r>
      <w:r>
        <w:rPr>
          <w:sz w:val="20"/>
          <w:szCs w:val="20"/>
          <w:lang w:val="en-US" w:eastAsia="zh-CN"/>
        </w:rPr>
        <w:t>ELI</w:t>
      </w:r>
      <w:r>
        <w:rPr>
          <w:rFonts w:hint="eastAsia" w:ascii="宋体" w:hAnsi="宋体" w:eastAsia="宋体" w:cs="宋体"/>
          <w:sz w:val="20"/>
          <w:szCs w:val="20"/>
          <w:lang w:val="en-US" w:eastAsia="zh-CN"/>
        </w:rPr>
        <w:t>：</w:t>
      </w:r>
      <w:r>
        <w:fldChar w:fldCharType="begin"/>
      </w:r>
      <w:r>
        <w:instrText xml:space="preserve"> HYPERLINK "http://data.europa.eu/eli/reg_impl/2023/1757/oj" \h </w:instrText>
      </w:r>
      <w:r>
        <w:fldChar w:fldCharType="separate"/>
      </w:r>
      <w:r>
        <w:rPr>
          <w:color w:val="0000FF"/>
          <w:sz w:val="20"/>
          <w:u w:val="single" w:color="0000FF"/>
          <w:lang w:val="en-US" w:eastAsia="zh-CN"/>
        </w:rPr>
        <w:t>http://data.europa.eu/eli/reg_impl/2023/1757/oj</w:t>
      </w:r>
      <w:r>
        <w:rPr>
          <w:color w:val="0000FF"/>
          <w:sz w:val="20"/>
          <w:u w:val="single" w:color="0000FF"/>
          <w:lang w:val="en-US" w:eastAsia="zh-CN"/>
        </w:rPr>
        <w:fldChar w:fldCharType="end"/>
      </w:r>
      <w:r>
        <w:rPr>
          <w:sz w:val="20"/>
          <w:lang w:val="en-US" w:eastAsia="zh-CN"/>
        </w:rPr>
        <w:t>).</w:t>
      </w:r>
    </w:p>
    <w:p w14:paraId="2F30FF90">
      <w:pPr>
        <w:jc w:val="both"/>
        <w:rPr>
          <w:sz w:val="20"/>
          <w:lang w:val="en-US" w:eastAsia="zh-CN"/>
        </w:rPr>
        <w:sectPr>
          <w:pgSz w:w="11910" w:h="16840"/>
          <w:pgMar w:top="1040" w:right="1300" w:bottom="1240" w:left="1300" w:header="0" w:footer="1041" w:gutter="0"/>
          <w:cols w:space="720" w:num="1"/>
        </w:sectPr>
      </w:pPr>
    </w:p>
    <w:p w14:paraId="534AF4EC">
      <w:pPr>
        <w:spacing w:before="73"/>
        <w:ind w:left="113" w:right="113"/>
        <w:jc w:val="center"/>
        <w:rPr>
          <w:i/>
          <w:sz w:val="24"/>
          <w:lang w:val="en-US" w:eastAsia="zh-CN"/>
        </w:rPr>
      </w:pPr>
      <w:r>
        <w:rPr>
          <w:rFonts w:hint="eastAsia" w:ascii="宋体" w:hAnsi="宋体" w:eastAsia="宋体" w:cs="宋体"/>
          <w:i/>
          <w:sz w:val="24"/>
          <w:szCs w:val="24"/>
          <w:lang w:val="en-US" w:eastAsia="zh-CN"/>
        </w:rPr>
        <w:t>第三条</w:t>
      </w:r>
    </w:p>
    <w:p w14:paraId="2DF670E8">
      <w:pPr>
        <w:spacing w:before="1"/>
        <w:ind w:left="113" w:right="115"/>
        <w:jc w:val="center"/>
        <w:rPr>
          <w:b/>
          <w:sz w:val="24"/>
          <w:lang w:val="en-US" w:eastAsia="zh-CN"/>
        </w:rPr>
      </w:pPr>
      <w:r>
        <w:rPr>
          <w:rFonts w:hint="eastAsia" w:ascii="宋体" w:hAnsi="宋体" w:eastAsia="宋体" w:cs="宋体"/>
          <w:b/>
          <w:sz w:val="24"/>
          <w:szCs w:val="24"/>
          <w:lang w:val="en-US" w:eastAsia="zh-CN"/>
        </w:rPr>
        <w:t>（</w:t>
      </w:r>
      <w:r>
        <w:rPr>
          <w:b/>
          <w:sz w:val="24"/>
          <w:szCs w:val="24"/>
          <w:lang w:val="en-US" w:eastAsia="zh-CN"/>
        </w:rPr>
        <w:t>EU</w:t>
      </w:r>
      <w:r>
        <w:rPr>
          <w:rFonts w:hint="eastAsia" w:ascii="宋体" w:hAnsi="宋体" w:eastAsia="宋体" w:cs="宋体"/>
          <w:b/>
          <w:sz w:val="24"/>
          <w:szCs w:val="24"/>
          <w:lang w:val="en-US" w:eastAsia="zh-CN"/>
        </w:rPr>
        <w:t>）第</w:t>
      </w:r>
      <w:r>
        <w:rPr>
          <w:b/>
          <w:sz w:val="24"/>
          <w:szCs w:val="24"/>
          <w:lang w:val="en-US" w:eastAsia="zh-CN"/>
        </w:rPr>
        <w:t>2015/408</w:t>
      </w:r>
      <w:r>
        <w:rPr>
          <w:rFonts w:hint="eastAsia" w:ascii="宋体" w:hAnsi="宋体" w:eastAsia="宋体" w:cs="宋体"/>
          <w:b/>
          <w:sz w:val="24"/>
          <w:szCs w:val="24"/>
          <w:lang w:val="en-US" w:eastAsia="zh-CN"/>
        </w:rPr>
        <w:t>号实施条例修正案</w:t>
      </w:r>
    </w:p>
    <w:p w14:paraId="6A807640">
      <w:pPr>
        <w:pStyle w:val="2"/>
        <w:ind w:left="116" w:right="119"/>
        <w:jc w:val="both"/>
        <w:rPr>
          <w:lang w:val="en-US" w:eastAsia="zh-CN"/>
        </w:rPr>
      </w:pPr>
      <w:r>
        <w:rPr>
          <w:rFonts w:hint="eastAsia" w:ascii="宋体" w:hAnsi="宋体" w:eastAsia="宋体" w:cs="宋体"/>
          <w:lang w:val="en-US" w:eastAsia="zh-CN"/>
        </w:rPr>
        <w:t>从第</w:t>
      </w:r>
      <w:r>
        <w:rPr>
          <w:lang w:val="en-US" w:eastAsia="zh-CN"/>
        </w:rPr>
        <w:t>2015/408</w:t>
      </w:r>
      <w:r>
        <w:rPr>
          <w:rFonts w:hint="eastAsia" w:ascii="宋体" w:hAnsi="宋体" w:eastAsia="宋体" w:cs="宋体"/>
          <w:lang w:val="en-US" w:eastAsia="zh-CN"/>
        </w:rPr>
        <w:t>号执行法规（</w:t>
      </w:r>
      <w:r>
        <w:rPr>
          <w:lang w:val="en-US" w:eastAsia="zh-CN"/>
        </w:rPr>
        <w:t>EU</w:t>
      </w:r>
      <w:r>
        <w:rPr>
          <w:rFonts w:hint="eastAsia" w:ascii="宋体" w:hAnsi="宋体" w:eastAsia="宋体" w:cs="宋体"/>
          <w:lang w:val="en-US" w:eastAsia="zh-CN"/>
        </w:rPr>
        <w:t>）附件中删除氟噻草胺条目。</w:t>
      </w:r>
    </w:p>
    <w:p w14:paraId="6209B45D">
      <w:pPr>
        <w:pStyle w:val="2"/>
        <w:spacing w:before="3"/>
        <w:rPr>
          <w:sz w:val="31"/>
          <w:lang w:val="en-US" w:eastAsia="zh-CN"/>
        </w:rPr>
      </w:pPr>
    </w:p>
    <w:p w14:paraId="6445EB24">
      <w:pPr>
        <w:ind w:left="113" w:right="113"/>
        <w:jc w:val="center"/>
        <w:rPr>
          <w:i/>
          <w:sz w:val="24"/>
          <w:lang w:val="en-US" w:eastAsia="zh-CN"/>
        </w:rPr>
      </w:pPr>
      <w:r>
        <w:rPr>
          <w:rFonts w:hint="eastAsia" w:ascii="宋体" w:hAnsi="宋体" w:eastAsia="宋体" w:cs="宋体"/>
          <w:i/>
          <w:sz w:val="24"/>
          <w:szCs w:val="24"/>
          <w:lang w:val="en-US" w:eastAsia="zh-CN"/>
        </w:rPr>
        <w:t>第四条</w:t>
      </w:r>
    </w:p>
    <w:p w14:paraId="2C079F8A">
      <w:pPr>
        <w:ind w:left="113" w:right="115"/>
        <w:jc w:val="center"/>
        <w:rPr>
          <w:b/>
          <w:sz w:val="24"/>
          <w:lang w:val="en-US" w:eastAsia="zh-CN"/>
        </w:rPr>
      </w:pPr>
      <w:r>
        <w:rPr>
          <w:rFonts w:hint="eastAsia" w:ascii="宋体" w:hAnsi="宋体" w:eastAsia="宋体" w:cs="宋体"/>
          <w:b/>
          <w:sz w:val="24"/>
          <w:szCs w:val="24"/>
          <w:lang w:val="en-US" w:eastAsia="zh-CN"/>
        </w:rPr>
        <w:t>过渡性措施</w:t>
      </w:r>
    </w:p>
    <w:p w14:paraId="08E5568D">
      <w:pPr>
        <w:spacing w:before="120"/>
        <w:ind w:left="116" w:right="112"/>
        <w:jc w:val="both"/>
        <w:rPr>
          <w:sz w:val="24"/>
          <w:lang w:val="en-US" w:eastAsia="zh-CN"/>
        </w:rPr>
      </w:pPr>
      <w:r>
        <w:rPr>
          <w:rFonts w:hint="eastAsia" w:ascii="宋体" w:hAnsi="宋体" w:eastAsia="宋体" w:cs="宋体"/>
          <w:sz w:val="24"/>
          <w:szCs w:val="24"/>
          <w:lang w:val="en-US" w:eastAsia="zh-CN"/>
        </w:rPr>
        <w:t>成员国应撤销对含有活性物质氟噻草胺的植物保护产品的授权</w:t>
      </w:r>
      <w:r>
        <w:rPr>
          <w:sz w:val="24"/>
          <w:szCs w:val="24"/>
          <w:lang w:val="en-US" w:eastAsia="zh-CN"/>
        </w:rPr>
        <w:t>…[</w:t>
      </w:r>
      <w:r>
        <w:rPr>
          <w:rFonts w:hint="eastAsia" w:ascii="宋体" w:hAnsi="宋体" w:eastAsia="宋体" w:cs="宋体"/>
          <w:sz w:val="24"/>
          <w:szCs w:val="24"/>
          <w:lang w:val="en-US" w:eastAsia="zh-CN"/>
        </w:rPr>
        <w:t>出版物办公室：请填写本法规生效之日起</w:t>
      </w:r>
      <w:r>
        <w:rPr>
          <w:sz w:val="24"/>
          <w:szCs w:val="24"/>
          <w:lang w:val="en-US" w:eastAsia="zh-CN"/>
        </w:rPr>
        <w:t>6</w:t>
      </w:r>
      <w:r>
        <w:rPr>
          <w:rFonts w:hint="eastAsia" w:ascii="宋体" w:hAnsi="宋体" w:eastAsia="宋体" w:cs="宋体"/>
          <w:sz w:val="24"/>
          <w:szCs w:val="24"/>
          <w:lang w:val="en-US" w:eastAsia="zh-CN"/>
        </w:rPr>
        <w:t>个月的日期</w:t>
      </w:r>
      <w:r>
        <w:rPr>
          <w:sz w:val="24"/>
          <w:szCs w:val="24"/>
          <w:lang w:val="en-US" w:eastAsia="zh-CN"/>
        </w:rPr>
        <w:t>]</w:t>
      </w:r>
      <w:r>
        <w:rPr>
          <w:rFonts w:hint="eastAsia" w:ascii="宋体" w:hAnsi="宋体" w:eastAsia="宋体" w:cs="宋体"/>
          <w:sz w:val="24"/>
          <w:szCs w:val="24"/>
          <w:lang w:val="en-US" w:eastAsia="zh-CN"/>
        </w:rPr>
        <w:t>。</w:t>
      </w:r>
    </w:p>
    <w:p w14:paraId="5BB6DF5D">
      <w:pPr>
        <w:pStyle w:val="2"/>
        <w:spacing w:before="4"/>
        <w:rPr>
          <w:sz w:val="31"/>
          <w:lang w:val="en-US" w:eastAsia="zh-CN"/>
        </w:rPr>
      </w:pPr>
    </w:p>
    <w:p w14:paraId="76128A10">
      <w:pPr>
        <w:spacing w:before="1"/>
        <w:ind w:left="113" w:right="113"/>
        <w:jc w:val="center"/>
        <w:rPr>
          <w:i/>
          <w:sz w:val="24"/>
          <w:lang w:val="en-US" w:eastAsia="zh-CN"/>
        </w:rPr>
      </w:pPr>
      <w:r>
        <w:rPr>
          <w:rFonts w:hint="eastAsia" w:ascii="宋体" w:hAnsi="宋体" w:eastAsia="宋体" w:cs="宋体"/>
          <w:i/>
          <w:sz w:val="24"/>
          <w:szCs w:val="24"/>
          <w:lang w:val="en-US" w:eastAsia="zh-CN"/>
        </w:rPr>
        <w:t>第五条</w:t>
      </w:r>
    </w:p>
    <w:p w14:paraId="69848196">
      <w:pPr>
        <w:ind w:left="113" w:right="114"/>
        <w:jc w:val="center"/>
        <w:rPr>
          <w:b/>
          <w:sz w:val="24"/>
          <w:lang w:val="en-US" w:eastAsia="zh-CN"/>
        </w:rPr>
      </w:pPr>
      <w:r>
        <w:rPr>
          <w:rFonts w:hint="eastAsia" w:ascii="宋体" w:hAnsi="宋体" w:eastAsia="宋体" w:cs="宋体"/>
          <w:b/>
          <w:sz w:val="24"/>
          <w:szCs w:val="24"/>
          <w:lang w:val="en-US" w:eastAsia="zh-CN"/>
        </w:rPr>
        <w:t>宽限期</w:t>
      </w:r>
    </w:p>
    <w:p w14:paraId="64496827">
      <w:pPr>
        <w:pStyle w:val="2"/>
        <w:spacing w:before="3"/>
        <w:rPr>
          <w:b/>
          <w:sz w:val="31"/>
          <w:lang w:val="en-US" w:eastAsia="zh-CN"/>
        </w:rPr>
      </w:pPr>
    </w:p>
    <w:p w14:paraId="227B02FB">
      <w:pPr>
        <w:ind w:left="116" w:right="112"/>
        <w:jc w:val="both"/>
        <w:rPr>
          <w:sz w:val="24"/>
          <w:lang w:val="en-US" w:eastAsia="zh-CN"/>
        </w:rPr>
      </w:pPr>
      <w:r>
        <w:rPr>
          <w:rFonts w:hint="eastAsia" w:ascii="宋体" w:hAnsi="宋体" w:eastAsia="宋体" w:cs="宋体"/>
          <w:sz w:val="24"/>
          <w:szCs w:val="24"/>
          <w:lang w:val="en-US" w:eastAsia="zh-CN"/>
        </w:rPr>
        <w:t>成员国根据（</w:t>
      </w:r>
      <w:r>
        <w:rPr>
          <w:sz w:val="24"/>
          <w:szCs w:val="24"/>
          <w:lang w:val="en-US" w:eastAsia="zh-CN"/>
        </w:rPr>
        <w:t>EC</w:t>
      </w:r>
      <w:r>
        <w:rPr>
          <w:rFonts w:hint="eastAsia" w:ascii="宋体" w:hAnsi="宋体" w:eastAsia="宋体" w:cs="宋体"/>
          <w:sz w:val="24"/>
          <w:szCs w:val="24"/>
          <w:lang w:val="en-US" w:eastAsia="zh-CN"/>
        </w:rPr>
        <w:t>）第</w:t>
      </w:r>
      <w:r>
        <w:rPr>
          <w:sz w:val="24"/>
          <w:szCs w:val="24"/>
          <w:lang w:val="en-US" w:eastAsia="zh-CN"/>
        </w:rPr>
        <w:t>1107/2009</w:t>
      </w:r>
      <w:r>
        <w:rPr>
          <w:rFonts w:hint="eastAsia" w:ascii="宋体" w:hAnsi="宋体" w:eastAsia="宋体" w:cs="宋体"/>
          <w:sz w:val="24"/>
          <w:szCs w:val="24"/>
          <w:lang w:val="en-US" w:eastAsia="zh-CN"/>
        </w:rPr>
        <w:t>号法规第</w:t>
      </w:r>
      <w:r>
        <w:rPr>
          <w:sz w:val="24"/>
          <w:szCs w:val="24"/>
          <w:lang w:val="en-US" w:eastAsia="zh-CN"/>
        </w:rPr>
        <w:t>46</w:t>
      </w:r>
      <w:r>
        <w:rPr>
          <w:rFonts w:hint="eastAsia" w:ascii="宋体" w:hAnsi="宋体" w:eastAsia="宋体" w:cs="宋体"/>
          <w:sz w:val="24"/>
          <w:szCs w:val="24"/>
          <w:lang w:val="en-US" w:eastAsia="zh-CN"/>
        </w:rPr>
        <w:t>条授予的任何宽限期应于</w:t>
      </w:r>
      <w:r>
        <w:rPr>
          <w:sz w:val="24"/>
          <w:szCs w:val="24"/>
          <w:lang w:val="en-US" w:eastAsia="zh-CN"/>
        </w:rPr>
        <w:t>……</w:t>
      </w:r>
      <w:r>
        <w:rPr>
          <w:rFonts w:hint="eastAsia" w:ascii="宋体" w:hAnsi="宋体" w:eastAsia="宋体" w:cs="宋体"/>
          <w:sz w:val="24"/>
          <w:szCs w:val="24"/>
          <w:lang w:val="en-US" w:eastAsia="zh-CN"/>
        </w:rPr>
        <w:t>到期。</w:t>
      </w:r>
      <w:r>
        <w:rPr>
          <w:sz w:val="24"/>
          <w:szCs w:val="24"/>
          <w:lang w:val="en-US" w:eastAsia="zh-CN"/>
        </w:rPr>
        <w:t>[</w:t>
      </w:r>
      <w:r>
        <w:rPr>
          <w:rFonts w:hint="eastAsia" w:ascii="宋体" w:hAnsi="宋体" w:eastAsia="宋体" w:cs="宋体"/>
          <w:sz w:val="24"/>
          <w:szCs w:val="24"/>
          <w:lang w:val="en-US" w:eastAsia="zh-CN"/>
        </w:rPr>
        <w:t>出版物办公室：请插入自本法规生效之日起</w:t>
      </w:r>
      <w:r>
        <w:rPr>
          <w:sz w:val="24"/>
          <w:szCs w:val="24"/>
          <w:lang w:val="en-US" w:eastAsia="zh-CN"/>
        </w:rPr>
        <w:t>12</w:t>
      </w:r>
      <w:r>
        <w:rPr>
          <w:rFonts w:hint="eastAsia" w:ascii="宋体" w:hAnsi="宋体" w:eastAsia="宋体" w:cs="宋体"/>
          <w:sz w:val="24"/>
          <w:szCs w:val="24"/>
          <w:lang w:val="en-US" w:eastAsia="zh-CN"/>
        </w:rPr>
        <w:t>个月的日期</w:t>
      </w:r>
      <w:r>
        <w:rPr>
          <w:sz w:val="24"/>
          <w:szCs w:val="24"/>
          <w:lang w:val="en-US" w:eastAsia="zh-CN"/>
        </w:rPr>
        <w:t>]</w:t>
      </w:r>
      <w:r>
        <w:rPr>
          <w:rFonts w:hint="eastAsia" w:ascii="宋体" w:hAnsi="宋体" w:eastAsia="宋体" w:cs="宋体"/>
          <w:sz w:val="24"/>
          <w:szCs w:val="24"/>
          <w:lang w:val="en-US" w:eastAsia="zh-CN"/>
        </w:rPr>
        <w:t>。</w:t>
      </w:r>
    </w:p>
    <w:p w14:paraId="05981E4C">
      <w:pPr>
        <w:pStyle w:val="2"/>
        <w:spacing w:before="3"/>
        <w:rPr>
          <w:sz w:val="31"/>
          <w:lang w:val="en-US" w:eastAsia="zh-CN"/>
        </w:rPr>
      </w:pPr>
    </w:p>
    <w:p w14:paraId="3B1DD6D2">
      <w:pPr>
        <w:spacing w:before="1"/>
        <w:ind w:left="113" w:right="113"/>
        <w:jc w:val="center"/>
        <w:rPr>
          <w:i/>
          <w:sz w:val="24"/>
          <w:lang w:val="en-US" w:eastAsia="zh-CN"/>
        </w:rPr>
      </w:pPr>
      <w:r>
        <w:rPr>
          <w:rFonts w:hint="eastAsia" w:ascii="宋体" w:hAnsi="宋体" w:eastAsia="宋体" w:cs="宋体"/>
          <w:i/>
          <w:sz w:val="24"/>
          <w:szCs w:val="24"/>
          <w:lang w:val="en-US" w:eastAsia="zh-CN"/>
        </w:rPr>
        <w:t>第六条</w:t>
      </w:r>
    </w:p>
    <w:p w14:paraId="401FB98B">
      <w:pPr>
        <w:ind w:left="113" w:right="113"/>
        <w:jc w:val="center"/>
        <w:rPr>
          <w:b/>
          <w:sz w:val="24"/>
          <w:lang w:val="en-US" w:eastAsia="zh-CN"/>
        </w:rPr>
      </w:pPr>
      <w:r>
        <w:rPr>
          <w:rFonts w:hint="eastAsia" w:ascii="宋体" w:hAnsi="宋体" w:eastAsia="宋体" w:cs="宋体"/>
          <w:b/>
          <w:sz w:val="24"/>
          <w:szCs w:val="24"/>
          <w:lang w:val="en-US" w:eastAsia="zh-CN"/>
        </w:rPr>
        <w:t>生效</w:t>
      </w:r>
    </w:p>
    <w:p w14:paraId="1C120926">
      <w:pPr>
        <w:spacing w:before="120"/>
        <w:ind w:left="116" w:right="115"/>
        <w:jc w:val="both"/>
        <w:rPr>
          <w:sz w:val="24"/>
          <w:lang w:val="en-US" w:eastAsia="zh-CN"/>
        </w:rPr>
      </w:pPr>
      <w:r>
        <w:rPr>
          <w:rFonts w:hint="eastAsia" w:ascii="宋体" w:hAnsi="宋体" w:eastAsia="宋体" w:cs="宋体"/>
          <w:sz w:val="24"/>
          <w:szCs w:val="24"/>
          <w:lang w:val="en-US" w:eastAsia="zh-CN"/>
        </w:rPr>
        <w:t>本条例自在《欧盟公报》上公布后第二十天起生效。</w:t>
      </w:r>
    </w:p>
    <w:p w14:paraId="0D8B2380">
      <w:pPr>
        <w:pStyle w:val="2"/>
        <w:spacing w:before="0"/>
        <w:rPr>
          <w:sz w:val="26"/>
          <w:lang w:val="en-US" w:eastAsia="zh-CN"/>
        </w:rPr>
      </w:pPr>
    </w:p>
    <w:p w14:paraId="5F3F2C86">
      <w:pPr>
        <w:pStyle w:val="2"/>
        <w:spacing w:before="181" w:line="343" w:lineRule="auto"/>
        <w:ind w:left="116"/>
        <w:rPr>
          <w:lang w:val="en-US" w:eastAsia="zh-CN"/>
        </w:rPr>
      </w:pPr>
      <w:r>
        <w:rPr>
          <w:rFonts w:hint="eastAsia" w:ascii="宋体" w:hAnsi="宋体" w:eastAsia="宋体" w:cs="宋体"/>
          <w:lang w:val="en-US" w:eastAsia="zh-CN"/>
        </w:rPr>
        <w:t>本法规具有整体约束力，直接适用于所有成员国。于布鲁塞尔，</w:t>
      </w:r>
    </w:p>
    <w:p w14:paraId="3949D799">
      <w:pPr>
        <w:pStyle w:val="2"/>
        <w:spacing w:before="0"/>
        <w:rPr>
          <w:sz w:val="26"/>
          <w:lang w:val="en-US" w:eastAsia="zh-CN"/>
        </w:rPr>
      </w:pPr>
    </w:p>
    <w:p w14:paraId="51CB18CB">
      <w:pPr>
        <w:pStyle w:val="2"/>
        <w:spacing w:before="5"/>
        <w:rPr>
          <w:sz w:val="26"/>
          <w:lang w:val="en-US" w:eastAsia="zh-CN"/>
        </w:rPr>
      </w:pPr>
    </w:p>
    <w:p w14:paraId="5B09E610">
      <w:pPr>
        <w:ind w:left="4370" w:right="2669"/>
        <w:rPr>
          <w:i/>
          <w:sz w:val="24"/>
          <w:lang w:val="en-US" w:eastAsia="zh-CN"/>
        </w:rPr>
      </w:pPr>
      <w:r>
        <w:rPr>
          <w:rFonts w:hint="eastAsia" w:ascii="宋体" w:hAnsi="宋体" w:eastAsia="宋体" w:cs="宋体"/>
          <w:i/>
          <w:sz w:val="24"/>
          <w:szCs w:val="24"/>
          <w:lang w:val="en-US" w:eastAsia="zh-CN"/>
        </w:rPr>
        <w:t>委员会主席</w:t>
      </w:r>
    </w:p>
    <w:p w14:paraId="6BF64683">
      <w:pPr>
        <w:ind w:left="4370"/>
        <w:rPr>
          <w:i/>
          <w:sz w:val="24"/>
          <w:lang w:val="en-US"/>
        </w:rPr>
      </w:pPr>
      <w:r>
        <w:rPr>
          <w:rFonts w:hint="eastAsia" w:ascii="宋体" w:hAnsi="宋体" w:eastAsia="宋体" w:cs="宋体"/>
          <w:i/>
          <w:sz w:val="24"/>
          <w:szCs w:val="24"/>
          <w:lang w:val="en-US"/>
        </w:rPr>
        <w:t>乌尔苏拉</w:t>
      </w:r>
      <w:r>
        <w:rPr>
          <w:i/>
          <w:sz w:val="24"/>
          <w:szCs w:val="24"/>
          <w:lang w:val="en-US"/>
        </w:rPr>
        <w:t>·</w:t>
      </w:r>
      <w:r>
        <w:rPr>
          <w:rFonts w:hint="eastAsia" w:ascii="宋体" w:hAnsi="宋体" w:eastAsia="宋体" w:cs="宋体"/>
          <w:i/>
          <w:sz w:val="24"/>
          <w:szCs w:val="24"/>
          <w:lang w:val="en-US"/>
        </w:rPr>
        <w:t>冯德莱恩</w:t>
      </w:r>
    </w:p>
    <w:sectPr>
      <w:pgSz w:w="11910" w:h="16840"/>
      <w:pgMar w:top="1040" w:right="1300" w:bottom="1240" w:left="1300" w:header="0" w:footer="104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9C385">
    <w:pPr>
      <w:pStyle w:val="2"/>
      <w:spacing w:before="0" w:line="14" w:lineRule="auto"/>
      <w:rPr>
        <w:sz w:val="20"/>
      </w:rPr>
    </w:pPr>
    <w:r>
      <w:pict>
        <v:shape id="docshape1" o:spid="_x0000_s1029" o:spt="202" type="#_x0000_t202" style="position:absolute;left:0pt;margin-left:27.3pt;margin-top:778.85pt;height:28.85pt;width:35.2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2499F775">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2" o:spid="_x0000_s1028" o:spt="202" type="#_x0000_t202" style="position:absolute;left:0pt;margin-left:532.65pt;margin-top:778.85pt;height:28.85pt;width:35.2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2962E21D">
                <w:pPr>
                  <w:spacing w:before="4"/>
                  <w:ind w:left="20"/>
                  <w:rPr>
                    <w:rFonts w:ascii="Arial"/>
                    <w:b/>
                    <w:sz w:val="48"/>
                  </w:rPr>
                </w:pPr>
                <w:r>
                  <w:rPr>
                    <w:rFonts w:hint="eastAsia" w:ascii="宋体" w:hAnsi="宋体" w:eastAsia="宋体" w:cs="宋体"/>
                    <w:b/>
                    <w:sz w:val="48"/>
                    <w:szCs w:val="48"/>
                  </w:rPr>
                  <w:t>英语</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D76E">
    <w:pPr>
      <w:pStyle w:val="2"/>
      <w:spacing w:before="0" w:line="14" w:lineRule="auto"/>
      <w:rPr>
        <w:sz w:val="20"/>
      </w:rPr>
    </w:pPr>
    <w:r>
      <w:pict>
        <v:shape id="docshape3" o:spid="_x0000_s1027" o:spt="202" type="#_x0000_t202" style="position:absolute;left:0pt;margin-left:27.3pt;margin-top:778.85pt;height:28.85pt;width:35.2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39269295">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4" o:spid="_x0000_s1026" o:spt="202" type="#_x0000_t202" style="position:absolute;left:0pt;margin-left:532.65pt;margin-top:778.85pt;height:28.85pt;width:35.2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6C363E79">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5" o:spid="_x0000_s1025" o:spt="202" type="#_x0000_t202" style="position:absolute;left:0pt;margin-left:291.65pt;margin-top:789.9pt;height:15.3pt;width:13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7CEEE99E">
                <w:pPr>
                  <w:pStyle w:val="2"/>
                  <w:spacing w:before="10"/>
                  <w:ind w:left="60"/>
                </w:pPr>
                <w:r>
                  <w:fldChar w:fldCharType="begin"/>
                </w:r>
                <w:r>
                  <w:instrText xml:space="preserve"> PAGE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7091E"/>
    <w:multiLevelType w:val="multilevel"/>
    <w:tmpl w:val="2527091E"/>
    <w:lvl w:ilvl="0" w:tentative="0">
      <w:start w:val="1"/>
      <w:numFmt w:val="decimal"/>
      <w:lvlText w:val="(%1)"/>
      <w:lvlJc w:val="left"/>
      <w:pPr>
        <w:ind w:left="824" w:hanging="708"/>
        <w:jc w:val="left"/>
      </w:pPr>
      <w:rPr>
        <w:rFonts w:hint="default"/>
        <w:w w:val="99"/>
        <w:lang w:val="fr-BE" w:eastAsia="en-US" w:bidi="ar-SA"/>
      </w:rPr>
    </w:lvl>
    <w:lvl w:ilvl="1" w:tentative="0">
      <w:start w:val="0"/>
      <w:numFmt w:val="bullet"/>
      <w:lvlText w:val="•"/>
      <w:lvlJc w:val="left"/>
      <w:pPr>
        <w:ind w:left="1668" w:hanging="708"/>
      </w:pPr>
      <w:rPr>
        <w:rFonts w:hint="default"/>
        <w:lang w:val="fr-BE" w:eastAsia="en-US" w:bidi="ar-SA"/>
      </w:rPr>
    </w:lvl>
    <w:lvl w:ilvl="2" w:tentative="0">
      <w:start w:val="0"/>
      <w:numFmt w:val="bullet"/>
      <w:lvlText w:val="•"/>
      <w:lvlJc w:val="left"/>
      <w:pPr>
        <w:ind w:left="2517" w:hanging="708"/>
      </w:pPr>
      <w:rPr>
        <w:rFonts w:hint="default"/>
        <w:lang w:val="fr-BE" w:eastAsia="en-US" w:bidi="ar-SA"/>
      </w:rPr>
    </w:lvl>
    <w:lvl w:ilvl="3" w:tentative="0">
      <w:start w:val="0"/>
      <w:numFmt w:val="bullet"/>
      <w:lvlText w:val="•"/>
      <w:lvlJc w:val="left"/>
      <w:pPr>
        <w:ind w:left="3365" w:hanging="708"/>
      </w:pPr>
      <w:rPr>
        <w:rFonts w:hint="default"/>
        <w:lang w:val="fr-BE" w:eastAsia="en-US" w:bidi="ar-SA"/>
      </w:rPr>
    </w:lvl>
    <w:lvl w:ilvl="4" w:tentative="0">
      <w:start w:val="0"/>
      <w:numFmt w:val="bullet"/>
      <w:lvlText w:val="•"/>
      <w:lvlJc w:val="left"/>
      <w:pPr>
        <w:ind w:left="4214" w:hanging="708"/>
      </w:pPr>
      <w:rPr>
        <w:rFonts w:hint="default"/>
        <w:lang w:val="fr-BE" w:eastAsia="en-US" w:bidi="ar-SA"/>
      </w:rPr>
    </w:lvl>
    <w:lvl w:ilvl="5" w:tentative="0">
      <w:start w:val="0"/>
      <w:numFmt w:val="bullet"/>
      <w:lvlText w:val="•"/>
      <w:lvlJc w:val="left"/>
      <w:pPr>
        <w:ind w:left="5063" w:hanging="708"/>
      </w:pPr>
      <w:rPr>
        <w:rFonts w:hint="default"/>
        <w:lang w:val="fr-BE" w:eastAsia="en-US" w:bidi="ar-SA"/>
      </w:rPr>
    </w:lvl>
    <w:lvl w:ilvl="6" w:tentative="0">
      <w:start w:val="0"/>
      <w:numFmt w:val="bullet"/>
      <w:lvlText w:val="•"/>
      <w:lvlJc w:val="left"/>
      <w:pPr>
        <w:ind w:left="5911" w:hanging="708"/>
      </w:pPr>
      <w:rPr>
        <w:rFonts w:hint="default"/>
        <w:lang w:val="fr-BE" w:eastAsia="en-US" w:bidi="ar-SA"/>
      </w:rPr>
    </w:lvl>
    <w:lvl w:ilvl="7" w:tentative="0">
      <w:start w:val="0"/>
      <w:numFmt w:val="bullet"/>
      <w:lvlText w:val="•"/>
      <w:lvlJc w:val="left"/>
      <w:pPr>
        <w:ind w:left="6760" w:hanging="708"/>
      </w:pPr>
      <w:rPr>
        <w:rFonts w:hint="default"/>
        <w:lang w:val="fr-BE" w:eastAsia="en-US" w:bidi="ar-SA"/>
      </w:rPr>
    </w:lvl>
    <w:lvl w:ilvl="8" w:tentative="0">
      <w:start w:val="0"/>
      <w:numFmt w:val="bullet"/>
      <w:lvlText w:val="•"/>
      <w:lvlJc w:val="left"/>
      <w:pPr>
        <w:ind w:left="7609" w:hanging="708"/>
      </w:pPr>
      <w:rPr>
        <w:rFonts w:hint="default"/>
        <w:lang w:val="fr-B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1"/>
    </o:shapelayout>
  </w:hdrShapeDefaults>
  <w:compat>
    <w:ulTrailSpace/>
    <w:shapeLayoutLikeWW8/>
    <w:useFELayout/>
    <w:compatSetting w:name="compatibilityMode" w:uri="http://schemas.microsoft.com/office/word" w:val="14"/>
  </w:compat>
  <w:rsids>
    <w:rsidRoot w:val="003166A8"/>
    <w:rsid w:val="003166A8"/>
    <w:rsid w:val="00857279"/>
    <w:rsid w:val="03547F3F"/>
    <w:rsid w:val="03633455"/>
    <w:rsid w:val="188B5D59"/>
    <w:rsid w:val="26B4291F"/>
    <w:rsid w:val="275163C0"/>
    <w:rsid w:val="295977AD"/>
    <w:rsid w:val="3C5E0F0B"/>
    <w:rsid w:val="3D18555E"/>
    <w:rsid w:val="3E3839DE"/>
    <w:rsid w:val="3F0B2EA0"/>
    <w:rsid w:val="42116A20"/>
    <w:rsid w:val="462B1330"/>
    <w:rsid w:val="4CE52F83"/>
    <w:rsid w:val="54646E83"/>
    <w:rsid w:val="7541141E"/>
    <w:rsid w:val="77980A6E"/>
    <w:rsid w:val="789179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fr-BE"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20"/>
    </w:pPr>
    <w:rPr>
      <w:sz w:val="24"/>
      <w:szCs w:val="24"/>
    </w:rPr>
  </w:style>
  <w:style w:type="paragraph" w:styleId="3">
    <w:name w:val="footer"/>
    <w:basedOn w:val="1"/>
    <w:link w:val="11"/>
    <w:unhideWhenUsed/>
    <w:qFormat/>
    <w:uiPriority w:val="99"/>
    <w:pPr>
      <w:tabs>
        <w:tab w:val="center" w:pos="4153"/>
        <w:tab w:val="right" w:pos="8306"/>
      </w:tabs>
      <w:snapToGrid w:val="0"/>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20"/>
      <w:ind w:left="824" w:right="115" w:hanging="708"/>
      <w:jc w:val="both"/>
    </w:pPr>
  </w:style>
  <w:style w:type="paragraph" w:customStyle="1" w:styleId="9">
    <w:name w:val="Table Paragraph"/>
    <w:basedOn w:val="1"/>
    <w:qFormat/>
    <w:uiPriority w:val="1"/>
  </w:style>
  <w:style w:type="character" w:customStyle="1" w:styleId="10">
    <w:name w:val="页眉 字符"/>
    <w:basedOn w:val="6"/>
    <w:link w:val="4"/>
    <w:qFormat/>
    <w:uiPriority w:val="99"/>
    <w:rPr>
      <w:rFonts w:ascii="Times New Roman" w:hAnsi="Times New Roman" w:eastAsia="Times New Roman" w:cs="Times New Roman"/>
      <w:sz w:val="18"/>
      <w:szCs w:val="18"/>
      <w:lang w:val="fr-BE"/>
    </w:rPr>
  </w:style>
  <w:style w:type="character" w:customStyle="1" w:styleId="11">
    <w:name w:val="页脚 字符"/>
    <w:basedOn w:val="6"/>
    <w:link w:val="3"/>
    <w:qFormat/>
    <w:uiPriority w:val="99"/>
    <w:rPr>
      <w:rFonts w:ascii="Times New Roman" w:hAnsi="Times New Roman" w:eastAsia="Times New Roman" w:cs="Times New Roman"/>
      <w:sz w:val="18"/>
      <w:szCs w:val="18"/>
      <w:lang w:val="fr-B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9"/>
    <customShpInfo spid="_x0000_s1028"/>
    <customShpInfo spid="_x0000_s1027"/>
    <customShpInfo spid="_x0000_s1026"/>
    <customShpInfo spid="_x0000_s1025"/>
    <customShpInfo spid="_x0000_s2053"/>
    <customShpInfo spid="_x0000_s2052"/>
    <customShpInfo spid="_x0000_s2051"/>
    <customShpInfo spid="_x0000_s2050"/>
  </customShpExts>
</s:customData>
</file>

<file path=customXml/item2.xml><?xml version="1.0" encoding="utf-8"?>
<rootClass>
  <codeData xmlns="urn:rootClass:codeData">79EF5F80E53B5CAD2EEA3483BC28B8144A1E287BE037495CBD9EBBCCBEC0C33569EA659B4F973BB6283C1669CE21534A4FF06E81F33A5D9284C781F72BB317578B89969A8C9DF31565FB56A98EE3277E83B7A4F76A9C21B41415055583CBC1C1C094BF20051477AED377E436397D9EE20B0F0C5FED74E6609D8F84C8ADFC1E7197A9B6C9BBC3C4C4DA63DF</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6F9416-F6C5-4F4C-9235-CD05F8DB2FC6}">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3279</Words>
  <Characters>5295</Characters>
  <Lines>198</Lines>
  <Paragraphs>79</Paragraphs>
  <TotalTime>2</TotalTime>
  <ScaleCrop>false</ScaleCrop>
  <LinksUpToDate>false</LinksUpToDate>
  <CharactersWithSpaces>5332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2025-01-10T03:15:00Z</dcterms:created>
  <dc:creator>DELL'OLIVO Vittoria (SANCO)</dc:creator>
  <cp:lastModifiedBy>欢喜葡萄</cp:lastModifiedBy>
  <cp:lastPrinted>2025-01-10T03:15:00Z</cp:lastPrinted>
  <dcterms:modified xsi:type="dcterms:W3CDTF">2025-02-10T07:32:20Z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PDF CoDe 5.2411.868.0 (c) 2002-2024 European Commission</vt:lpwstr>
  </property>
  <property fmtid="{D5CDD505-2E9C-101B-9397-08002B2CF9AE}" pid="4" name="LastSaved">
    <vt:filetime>2025-01-10T00:00:00Z</vt:filetime>
  </property>
  <property fmtid="{D5CDD505-2E9C-101B-9397-08002B2CF9AE}" pid="5" name="KSOTemplateDocerSaveRecord">
    <vt:lpwstr>eyJoZGlkIjoiN2ZlMWVkNmE0ODNiM2U0OWY5MTNiMWY0OTk5NGU3NGUiLCJ1c2VySWQiOiIxMzg2NzY4MTY1In0=</vt:lpwstr>
  </property>
  <property fmtid="{D5CDD505-2E9C-101B-9397-08002B2CF9AE}" pid="6" name="KSOProductBuildVer">
    <vt:lpwstr>2052-12.1.0.19770</vt:lpwstr>
  </property>
  <property fmtid="{D5CDD505-2E9C-101B-9397-08002B2CF9AE}" pid="7" name="ICV">
    <vt:lpwstr>5A1D7E2596CC451C9C251B915F011EC8_13</vt:lpwstr>
  </property>
</Properties>
</file>