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189E23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>[Federal Register Volume 89, Number 248 (Friday, December 27, 2024)]</w:t>
      </w:r>
    </w:p>
    <w:p w14:paraId="6F96151A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>[Rules and Regulations]</w:t>
      </w:r>
    </w:p>
    <w:p w14:paraId="3D8685F2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>[Pages 105470-105472]</w:t>
      </w:r>
    </w:p>
    <w:p w14:paraId="506E57DE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>From the Federal Register Online via the Government Publishing Office [</w:t>
      </w:r>
      <w:r>
        <w:rPr>
          <w:i w:val="0"/>
          <w:iCs w:val="0"/>
          <w:caps w:val="0"/>
          <w:spacing w:val="0"/>
        </w:rPr>
        <w:fldChar w:fldCharType="begin"/>
      </w:r>
      <w:r>
        <w:rPr>
          <w:i w:val="0"/>
          <w:iCs w:val="0"/>
          <w:caps w:val="0"/>
          <w:spacing w:val="0"/>
        </w:rPr>
        <w:instrText xml:space="preserve"> HYPERLINK "http://www.gpo.gov/" </w:instrText>
      </w:r>
      <w:r>
        <w:rPr>
          <w:i w:val="0"/>
          <w:iCs w:val="0"/>
          <w:caps w:val="0"/>
          <w:spacing w:val="0"/>
        </w:rPr>
        <w:fldChar w:fldCharType="separate"/>
      </w:r>
      <w:r>
        <w:rPr>
          <w:rStyle w:val="5"/>
          <w:i w:val="0"/>
          <w:iCs w:val="0"/>
          <w:caps w:val="0"/>
          <w:spacing w:val="0"/>
        </w:rPr>
        <w:t>www.gpo.gov</w:t>
      </w:r>
      <w:r>
        <w:rPr>
          <w:i w:val="0"/>
          <w:iCs w:val="0"/>
          <w:caps w:val="0"/>
          <w:spacing w:val="0"/>
        </w:rPr>
        <w:fldChar w:fldCharType="end"/>
      </w:r>
      <w:r>
        <w:rPr>
          <w:i w:val="0"/>
          <w:iCs w:val="0"/>
          <w:caps w:val="0"/>
          <w:color w:val="000000"/>
          <w:spacing w:val="0"/>
        </w:rPr>
        <w:t>]</w:t>
      </w:r>
    </w:p>
    <w:p w14:paraId="35C55913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>[FR Doc No: 2024-30581]</w:t>
      </w:r>
    </w:p>
    <w:p w14:paraId="08BC86B0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</w:p>
    <w:p w14:paraId="28759097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</w:p>
    <w:p w14:paraId="4EE23F73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>-----------------------------------------------------------------------</w:t>
      </w:r>
    </w:p>
    <w:p w14:paraId="0C31A0B4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</w:p>
    <w:p w14:paraId="0DB65251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>ENVIRONMENTAL PROTECTION AGENCY</w:t>
      </w:r>
    </w:p>
    <w:p w14:paraId="2BE122C6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</w:p>
    <w:p w14:paraId="2AC57032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>40 CFR Part 180</w:t>
      </w:r>
    </w:p>
    <w:p w14:paraId="4FCCCBAD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</w:p>
    <w:p w14:paraId="1E158A14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>[EPA-HQ-OPP-2023-0596; FRL-12457-01-OCSPP]</w:t>
      </w:r>
    </w:p>
    <w:p w14:paraId="11279321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</w:p>
    <w:p w14:paraId="4B4BDBF8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</w:p>
    <w:p w14:paraId="17BD07EF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>Ethiprole; Pesticide Tolerances</w:t>
      </w:r>
    </w:p>
    <w:p w14:paraId="0B95F8AB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</w:p>
    <w:p w14:paraId="679987AC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>AGENCY: Environmental Protection Agency (EPA).</w:t>
      </w:r>
    </w:p>
    <w:p w14:paraId="098527ED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</w:p>
    <w:p w14:paraId="2A2806FC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>ACTION: Final rule.</w:t>
      </w:r>
    </w:p>
    <w:p w14:paraId="48A01394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</w:p>
    <w:p w14:paraId="540C5994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>-----------------------------------------------------------------------</w:t>
      </w:r>
    </w:p>
    <w:p w14:paraId="2B4D9E8D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</w:p>
    <w:p w14:paraId="4EAE2EC2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SUMMARY: This regulation establishes a tolerance (without U.S. </w:t>
      </w:r>
    </w:p>
    <w:p w14:paraId="442CC68A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registrations) for residues of ethiprole in or on sugarcane. Bayer </w:t>
      </w:r>
    </w:p>
    <w:p w14:paraId="512F0D44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CropScience LP requested this tolerance under the Federal Food, Drug, </w:t>
      </w:r>
    </w:p>
    <w:p w14:paraId="39F91EEC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>and Cosmetic Act (FFDCA).</w:t>
      </w:r>
    </w:p>
    <w:p w14:paraId="65DD1230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</w:p>
    <w:p w14:paraId="134DD00B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DATES: This regulation is effective December 27, 2024. Objections and </w:t>
      </w:r>
    </w:p>
    <w:p w14:paraId="04683D68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requests for hearings must be received on or before February 25, 2025 </w:t>
      </w:r>
    </w:p>
    <w:p w14:paraId="0C3225CE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and must be filed in accordance with the instructions provided in 40 </w:t>
      </w:r>
    </w:p>
    <w:p w14:paraId="712185D8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>CFR part 178 (see also Unit I.C. of the SUPPLEMENTARY INFORMATION).</w:t>
      </w:r>
    </w:p>
    <w:p w14:paraId="6F85F556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</w:p>
    <w:p w14:paraId="48DC61A3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ADDRESSES: The docket for this action, identified by docket </w:t>
      </w:r>
    </w:p>
    <w:p w14:paraId="6FFB6924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identification (ID) number EPA-HQ-OPP-2023-0596, is available at </w:t>
      </w:r>
      <w:r>
        <w:rPr>
          <w:i w:val="0"/>
          <w:iCs w:val="0"/>
          <w:caps w:val="0"/>
          <w:spacing w:val="0"/>
        </w:rPr>
        <w:fldChar w:fldCharType="begin"/>
      </w:r>
      <w:r>
        <w:rPr>
          <w:i w:val="0"/>
          <w:iCs w:val="0"/>
          <w:caps w:val="0"/>
          <w:spacing w:val="0"/>
        </w:rPr>
        <w:instrText xml:space="preserve"> HYPERLINK "http://www.regulations.gov/" </w:instrText>
      </w:r>
      <w:r>
        <w:rPr>
          <w:i w:val="0"/>
          <w:iCs w:val="0"/>
          <w:caps w:val="0"/>
          <w:spacing w:val="0"/>
        </w:rPr>
        <w:fldChar w:fldCharType="separate"/>
      </w:r>
      <w:r>
        <w:rPr>
          <w:rStyle w:val="5"/>
          <w:i w:val="0"/>
          <w:iCs w:val="0"/>
          <w:caps w:val="0"/>
          <w:spacing w:val="0"/>
        </w:rPr>
        <w:t>http://www.regulations.gov</w:t>
      </w:r>
      <w:r>
        <w:rPr>
          <w:i w:val="0"/>
          <w:iCs w:val="0"/>
          <w:caps w:val="0"/>
          <w:spacing w:val="0"/>
        </w:rPr>
        <w:fldChar w:fldCharType="end"/>
      </w:r>
      <w:r>
        <w:rPr>
          <w:i w:val="0"/>
          <w:iCs w:val="0"/>
          <w:caps w:val="0"/>
          <w:color w:val="000000"/>
          <w:spacing w:val="0"/>
        </w:rPr>
        <w:t xml:space="preserve"> or at the Office of Pesticide Programs Regulatory </w:t>
      </w:r>
    </w:p>
    <w:p w14:paraId="6158C511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Public Docket (OPP Docket) in the Environmental Protection Agency </w:t>
      </w:r>
    </w:p>
    <w:p w14:paraId="308E153C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Docket Center (EPA/DC), West William Jefferson Clinton Bldg., Rm. 3334, </w:t>
      </w:r>
    </w:p>
    <w:p w14:paraId="74E327A4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1301 Constitution Ave. NW, Washington, DC 20460-0001. The Public </w:t>
      </w:r>
    </w:p>
    <w:p w14:paraId="6832B0DA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Reading Room is open from 8:30 a.m. to 4:30 p.m., Monday through </w:t>
      </w:r>
    </w:p>
    <w:p w14:paraId="6883F7C5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Friday, excluding legal holidays. The telephone number for the Public </w:t>
      </w:r>
    </w:p>
    <w:p w14:paraId="4F10A318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Reading Room and the OPP Docket is (202) 566-1744. For the latest </w:t>
      </w:r>
    </w:p>
    <w:p w14:paraId="3F28D9B9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status information on EPA/DC services, docket access, visit </w:t>
      </w:r>
      <w:r>
        <w:rPr>
          <w:i w:val="0"/>
          <w:iCs w:val="0"/>
          <w:caps w:val="0"/>
          <w:spacing w:val="0"/>
        </w:rPr>
        <w:fldChar w:fldCharType="begin"/>
      </w:r>
      <w:r>
        <w:rPr>
          <w:i w:val="0"/>
          <w:iCs w:val="0"/>
          <w:caps w:val="0"/>
          <w:spacing w:val="0"/>
        </w:rPr>
        <w:instrText xml:space="preserve"> HYPERLINK "https://www.epa.gov/dockets" </w:instrText>
      </w:r>
      <w:r>
        <w:rPr>
          <w:i w:val="0"/>
          <w:iCs w:val="0"/>
          <w:caps w:val="0"/>
          <w:spacing w:val="0"/>
        </w:rPr>
        <w:fldChar w:fldCharType="separate"/>
      </w:r>
      <w:r>
        <w:rPr>
          <w:rStyle w:val="5"/>
          <w:i w:val="0"/>
          <w:iCs w:val="0"/>
          <w:caps w:val="0"/>
          <w:spacing w:val="0"/>
        </w:rPr>
        <w:t>https://www.epa.gov/dockets</w:t>
      </w:r>
      <w:r>
        <w:rPr>
          <w:i w:val="0"/>
          <w:iCs w:val="0"/>
          <w:caps w:val="0"/>
          <w:spacing w:val="0"/>
        </w:rPr>
        <w:fldChar w:fldCharType="end"/>
      </w:r>
      <w:r>
        <w:rPr>
          <w:i w:val="0"/>
          <w:iCs w:val="0"/>
          <w:caps w:val="0"/>
          <w:color w:val="000000"/>
          <w:spacing w:val="0"/>
        </w:rPr>
        <w:t>.</w:t>
      </w:r>
    </w:p>
    <w:p w14:paraId="4E751DC2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</w:p>
    <w:p w14:paraId="75044E13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FOR FURTHER INFORMATION CONTACT: Charles Smith, Director, Registration </w:t>
      </w:r>
    </w:p>
    <w:p w14:paraId="27735AA4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Division (7505T), Office of Pesticide Programs, Environmental </w:t>
      </w:r>
    </w:p>
    <w:p w14:paraId="0BB9D9A2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>Protection Agency, 1200 Pennsylvania Ave. NW, Washington, DC 20460-</w:t>
      </w:r>
    </w:p>
    <w:p w14:paraId="36D22CA4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0001; main telephone number: (202) 566-1030; email address: </w:t>
      </w:r>
      <w:r>
        <w:rPr>
          <w:i w:val="0"/>
          <w:iCs w:val="0"/>
          <w:caps w:val="0"/>
          <w:spacing w:val="0"/>
        </w:rPr>
        <w:fldChar w:fldCharType="begin"/>
      </w:r>
      <w:r>
        <w:rPr>
          <w:i w:val="0"/>
          <w:iCs w:val="0"/>
          <w:caps w:val="0"/>
          <w:spacing w:val="0"/>
        </w:rPr>
        <w:instrText xml:space="preserve"> HYPERLINK "mailto:RDFRNotices@epa.gov" </w:instrText>
      </w:r>
      <w:r>
        <w:rPr>
          <w:i w:val="0"/>
          <w:iCs w:val="0"/>
          <w:caps w:val="0"/>
          <w:spacing w:val="0"/>
        </w:rPr>
        <w:fldChar w:fldCharType="separate"/>
      </w:r>
      <w:r>
        <w:rPr>
          <w:rStyle w:val="5"/>
          <w:i w:val="0"/>
          <w:iCs w:val="0"/>
          <w:caps w:val="0"/>
          <w:spacing w:val="0"/>
        </w:rPr>
        <w:t>RDFRNotices@epa.gov</w:t>
      </w:r>
      <w:r>
        <w:rPr>
          <w:i w:val="0"/>
          <w:iCs w:val="0"/>
          <w:caps w:val="0"/>
          <w:spacing w:val="0"/>
        </w:rPr>
        <w:fldChar w:fldCharType="end"/>
      </w:r>
      <w:r>
        <w:rPr>
          <w:i w:val="0"/>
          <w:iCs w:val="0"/>
          <w:caps w:val="0"/>
          <w:color w:val="000000"/>
          <w:spacing w:val="0"/>
        </w:rPr>
        <w:t>.</w:t>
      </w:r>
    </w:p>
    <w:p w14:paraId="2D5B8D9A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</w:p>
    <w:p w14:paraId="66DF5BED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SUPPLEMENTARY INFORMATION: </w:t>
      </w:r>
    </w:p>
    <w:p w14:paraId="1B128A96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</w:p>
    <w:p w14:paraId="7D0EA2B6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>I. General Information</w:t>
      </w:r>
    </w:p>
    <w:p w14:paraId="1A78EE7E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</w:p>
    <w:p w14:paraId="4572AC80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>A. Does this action apply to me?</w:t>
      </w:r>
    </w:p>
    <w:p w14:paraId="6C055BD5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</w:p>
    <w:p w14:paraId="0BD66004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    You may be potentially affected by this action if you are an </w:t>
      </w:r>
    </w:p>
    <w:p w14:paraId="7A6BCDAB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agricultural producer, food manufacturer, or pesticide manufacturer. </w:t>
      </w:r>
    </w:p>
    <w:p w14:paraId="15037758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The following list of North American Industrial Classification System </w:t>
      </w:r>
    </w:p>
    <w:p w14:paraId="09308282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(NAICS) codes is not intended to be exhaustive, but rather provides a </w:t>
      </w:r>
    </w:p>
    <w:p w14:paraId="204C1033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guide to help readers determine whether this document applies to them. </w:t>
      </w:r>
    </w:p>
    <w:p w14:paraId="36D08125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>Potentially affected entities may include:</w:t>
      </w:r>
    </w:p>
    <w:p w14:paraId="7948CD87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     Crop production (NAICS code 111).</w:t>
      </w:r>
    </w:p>
    <w:p w14:paraId="598D4392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     Animal production (NAICS code 112).</w:t>
      </w:r>
    </w:p>
    <w:p w14:paraId="1BE1BADC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     Food manufacturing (NAICS code 311).</w:t>
      </w:r>
    </w:p>
    <w:p w14:paraId="09EB267D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     Pesticide manufacturing (NAICS code 32532).</w:t>
      </w:r>
    </w:p>
    <w:p w14:paraId="08DE5E5C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</w:p>
    <w:p w14:paraId="49B726B5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>B. How can I Get electronic access to other related information?</w:t>
      </w:r>
    </w:p>
    <w:p w14:paraId="7DA92823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</w:p>
    <w:p w14:paraId="333B3C28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    You may access a frequently updated electronic version of EPA's </w:t>
      </w:r>
    </w:p>
    <w:p w14:paraId="008593E4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tolerance regulations at 40 CFR part 180 through the Federal Register </w:t>
      </w:r>
    </w:p>
    <w:p w14:paraId="3C7A65BF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Office's e-CFR site at </w:t>
      </w:r>
      <w:r>
        <w:rPr>
          <w:i w:val="0"/>
          <w:iCs w:val="0"/>
          <w:caps w:val="0"/>
          <w:spacing w:val="0"/>
        </w:rPr>
        <w:fldChar w:fldCharType="begin"/>
      </w:r>
      <w:r>
        <w:rPr>
          <w:i w:val="0"/>
          <w:iCs w:val="0"/>
          <w:caps w:val="0"/>
          <w:spacing w:val="0"/>
        </w:rPr>
        <w:instrText xml:space="preserve"> HYPERLINK "https://www.ecfr.gov/current/title-40" </w:instrText>
      </w:r>
      <w:r>
        <w:rPr>
          <w:i w:val="0"/>
          <w:iCs w:val="0"/>
          <w:caps w:val="0"/>
          <w:spacing w:val="0"/>
        </w:rPr>
        <w:fldChar w:fldCharType="separate"/>
      </w:r>
      <w:r>
        <w:rPr>
          <w:rStyle w:val="5"/>
          <w:i w:val="0"/>
          <w:iCs w:val="0"/>
          <w:caps w:val="0"/>
          <w:spacing w:val="0"/>
        </w:rPr>
        <w:t>https://www.ecfr.gov/current/title-40</w:t>
      </w:r>
      <w:r>
        <w:rPr>
          <w:i w:val="0"/>
          <w:iCs w:val="0"/>
          <w:caps w:val="0"/>
          <w:spacing w:val="0"/>
        </w:rPr>
        <w:fldChar w:fldCharType="end"/>
      </w:r>
      <w:r>
        <w:rPr>
          <w:i w:val="0"/>
          <w:iCs w:val="0"/>
          <w:caps w:val="0"/>
          <w:color w:val="000000"/>
          <w:spacing w:val="0"/>
        </w:rPr>
        <w:t>.</w:t>
      </w:r>
    </w:p>
    <w:p w14:paraId="6AEF5485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</w:p>
    <w:p w14:paraId="0530172F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>C. How can I file an objection or hearing request?</w:t>
      </w:r>
    </w:p>
    <w:p w14:paraId="6F6206E4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</w:p>
    <w:p w14:paraId="75CAC623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    Under FFDCA section 408(g), 21 U.S.C. 346a(g), any person may file </w:t>
      </w:r>
    </w:p>
    <w:p w14:paraId="0002A694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an objection to any aspect of this regulation and may also request a </w:t>
      </w:r>
    </w:p>
    <w:p w14:paraId="1282874C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hearing on those objections. You must file your objection or request a </w:t>
      </w:r>
    </w:p>
    <w:p w14:paraId="12FEDAF4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hearing on this regulation in accordance with the instructions provided </w:t>
      </w:r>
    </w:p>
    <w:p w14:paraId="40F3B524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in 40 CFR part 178. To ensure proper receipt by EPA, you must identify </w:t>
      </w:r>
    </w:p>
    <w:p w14:paraId="6ADEC892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docket ID number EPA-HQ-OPP-2023-0596 in the subject line on the first </w:t>
      </w:r>
    </w:p>
    <w:p w14:paraId="76970D6B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page of your submission. All objections and requests for a hearing must </w:t>
      </w:r>
    </w:p>
    <w:p w14:paraId="29D48F68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be in writing and must be received by the Hearing Clerk on or before </w:t>
      </w:r>
    </w:p>
    <w:p w14:paraId="1075CD46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February 25, 2025. Addresses for mail and hand delivery of objections </w:t>
      </w:r>
    </w:p>
    <w:p w14:paraId="05F45121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>and hearing requests are provided in 40 CFR 178.25(b).</w:t>
      </w:r>
    </w:p>
    <w:p w14:paraId="72E573EF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    In addition to filing an objection or hearing request with the </w:t>
      </w:r>
    </w:p>
    <w:p w14:paraId="3CE0D0B4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Hearing Clerk as described in 40 CFR part 178, please submit a copy of </w:t>
      </w:r>
    </w:p>
    <w:p w14:paraId="41C4429D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the filing (excluding any Confidential Business Information (CBI)) for </w:t>
      </w:r>
    </w:p>
    <w:p w14:paraId="32A69E8A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inclusion in the public docket. Information not marked confidential </w:t>
      </w:r>
    </w:p>
    <w:p w14:paraId="351B712E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pursuant to 40 CFR part 2 may be disclosed publicly by EPA without </w:t>
      </w:r>
    </w:p>
    <w:p w14:paraId="58A150BB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prior notice. Submit the non-CBI copy of your objection or hearing </w:t>
      </w:r>
    </w:p>
    <w:p w14:paraId="5B24A23E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request, identified by docket ID number EPA-HQ-OPP-2023-0596, by one of </w:t>
      </w:r>
    </w:p>
    <w:p w14:paraId="528528BA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>the following methods:</w:t>
      </w:r>
    </w:p>
    <w:p w14:paraId="5064C49A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     Federal eRulemaking Portal: </w:t>
      </w:r>
      <w:r>
        <w:rPr>
          <w:i w:val="0"/>
          <w:iCs w:val="0"/>
          <w:caps w:val="0"/>
          <w:spacing w:val="0"/>
        </w:rPr>
        <w:fldChar w:fldCharType="begin"/>
      </w:r>
      <w:r>
        <w:rPr>
          <w:i w:val="0"/>
          <w:iCs w:val="0"/>
          <w:caps w:val="0"/>
          <w:spacing w:val="0"/>
        </w:rPr>
        <w:instrText xml:space="preserve"> HYPERLINK "http://www.regulations.gov/" </w:instrText>
      </w:r>
      <w:r>
        <w:rPr>
          <w:i w:val="0"/>
          <w:iCs w:val="0"/>
          <w:caps w:val="0"/>
          <w:spacing w:val="0"/>
        </w:rPr>
        <w:fldChar w:fldCharType="separate"/>
      </w:r>
      <w:r>
        <w:rPr>
          <w:rStyle w:val="5"/>
          <w:i w:val="0"/>
          <w:iCs w:val="0"/>
          <w:caps w:val="0"/>
          <w:spacing w:val="0"/>
        </w:rPr>
        <w:t>http://www.regulations.gov</w:t>
      </w:r>
      <w:r>
        <w:rPr>
          <w:i w:val="0"/>
          <w:iCs w:val="0"/>
          <w:caps w:val="0"/>
          <w:spacing w:val="0"/>
        </w:rPr>
        <w:fldChar w:fldCharType="end"/>
      </w:r>
      <w:r>
        <w:rPr>
          <w:i w:val="0"/>
          <w:iCs w:val="0"/>
          <w:caps w:val="0"/>
          <w:color w:val="000000"/>
          <w:spacing w:val="0"/>
        </w:rPr>
        <w:t xml:space="preserve">. </w:t>
      </w:r>
    </w:p>
    <w:p w14:paraId="6B0224E0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Follow the online instructions for submitting comments. Do not submit </w:t>
      </w:r>
    </w:p>
    <w:p w14:paraId="6FD1108D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electronically any information you consider to be CBI or other </w:t>
      </w:r>
    </w:p>
    <w:p w14:paraId="6918AC7D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>information whose disclosure is restricted by statute.</w:t>
      </w:r>
    </w:p>
    <w:p w14:paraId="5E060C8D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     Mail: OPP Docket, Environmental Protection Agency Docket </w:t>
      </w:r>
    </w:p>
    <w:p w14:paraId="28A28FC0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Center (EPA/DC), (28221T), 1200 Pennsylvania Ave. NW, Washington, DC </w:t>
      </w:r>
    </w:p>
    <w:p w14:paraId="4951B5A8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>20460-0001.</w:t>
      </w:r>
    </w:p>
    <w:p w14:paraId="3A608BC0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     Hand Delivery: To make special arrangements for hand </w:t>
      </w:r>
    </w:p>
    <w:p w14:paraId="724E0D15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delivery or delivery of boxed information, please follow the </w:t>
      </w:r>
    </w:p>
    <w:p w14:paraId="49E5C2B4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instructions at </w:t>
      </w:r>
      <w:r>
        <w:rPr>
          <w:i w:val="0"/>
          <w:iCs w:val="0"/>
          <w:caps w:val="0"/>
          <w:spacing w:val="0"/>
        </w:rPr>
        <w:fldChar w:fldCharType="begin"/>
      </w:r>
      <w:r>
        <w:rPr>
          <w:i w:val="0"/>
          <w:iCs w:val="0"/>
          <w:caps w:val="0"/>
          <w:spacing w:val="0"/>
        </w:rPr>
        <w:instrText xml:space="preserve"> HYPERLINK "http://www.epa.gov/dockets/where-send-comments-epa-dockets" </w:instrText>
      </w:r>
      <w:r>
        <w:rPr>
          <w:i w:val="0"/>
          <w:iCs w:val="0"/>
          <w:caps w:val="0"/>
          <w:spacing w:val="0"/>
        </w:rPr>
        <w:fldChar w:fldCharType="separate"/>
      </w:r>
      <w:r>
        <w:rPr>
          <w:rStyle w:val="5"/>
          <w:i w:val="0"/>
          <w:iCs w:val="0"/>
          <w:caps w:val="0"/>
          <w:spacing w:val="0"/>
        </w:rPr>
        <w:t>http://www.epa.gov/dockets/where-send-comments-epa-dockets</w:t>
      </w:r>
      <w:r>
        <w:rPr>
          <w:i w:val="0"/>
          <w:iCs w:val="0"/>
          <w:caps w:val="0"/>
          <w:spacing w:val="0"/>
        </w:rPr>
        <w:fldChar w:fldCharType="end"/>
      </w:r>
      <w:r>
        <w:rPr>
          <w:i w:val="0"/>
          <w:iCs w:val="0"/>
          <w:caps w:val="0"/>
          <w:color w:val="000000"/>
          <w:spacing w:val="0"/>
        </w:rPr>
        <w:t>.</w:t>
      </w:r>
    </w:p>
    <w:p w14:paraId="0F1E270A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    Additional instructions on commenting or visiting the docket, along </w:t>
      </w:r>
    </w:p>
    <w:p w14:paraId="39C89347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with more information about dockets generally, are available at </w:t>
      </w:r>
      <w:r>
        <w:rPr>
          <w:i w:val="0"/>
          <w:iCs w:val="0"/>
          <w:caps w:val="0"/>
          <w:spacing w:val="0"/>
        </w:rPr>
        <w:fldChar w:fldCharType="begin"/>
      </w:r>
      <w:r>
        <w:rPr>
          <w:i w:val="0"/>
          <w:iCs w:val="0"/>
          <w:caps w:val="0"/>
          <w:spacing w:val="0"/>
        </w:rPr>
        <w:instrText xml:space="preserve"> HYPERLINK "http://www.epa.gov/dockets" </w:instrText>
      </w:r>
      <w:r>
        <w:rPr>
          <w:i w:val="0"/>
          <w:iCs w:val="0"/>
          <w:caps w:val="0"/>
          <w:spacing w:val="0"/>
        </w:rPr>
        <w:fldChar w:fldCharType="separate"/>
      </w:r>
      <w:r>
        <w:rPr>
          <w:rStyle w:val="5"/>
          <w:i w:val="0"/>
          <w:iCs w:val="0"/>
          <w:caps w:val="0"/>
          <w:spacing w:val="0"/>
        </w:rPr>
        <w:t>http://www.epa.gov/dockets</w:t>
      </w:r>
      <w:r>
        <w:rPr>
          <w:i w:val="0"/>
          <w:iCs w:val="0"/>
          <w:caps w:val="0"/>
          <w:spacing w:val="0"/>
        </w:rPr>
        <w:fldChar w:fldCharType="end"/>
      </w:r>
      <w:r>
        <w:rPr>
          <w:i w:val="0"/>
          <w:iCs w:val="0"/>
          <w:caps w:val="0"/>
          <w:color w:val="000000"/>
          <w:spacing w:val="0"/>
        </w:rPr>
        <w:t>.</w:t>
      </w:r>
    </w:p>
    <w:p w14:paraId="10D3E8A1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</w:p>
    <w:p w14:paraId="08B26503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>II. Summary of Petitioned-For Tolerance</w:t>
      </w:r>
    </w:p>
    <w:p w14:paraId="2428D4F4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</w:p>
    <w:p w14:paraId="70A8FE80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    In the Federal Register of July 1, 2024 (89 FR 54398) (FRL-11682-</w:t>
      </w:r>
    </w:p>
    <w:p w14:paraId="5FD10378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05-OCSPP), EPA issued a document pursuant to FFDCA section 408(d)(3), </w:t>
      </w:r>
    </w:p>
    <w:p w14:paraId="6685D931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21 U.S.C. 346a(d)(3), announcing the filing of a pesticide petition (PP </w:t>
      </w:r>
    </w:p>
    <w:p w14:paraId="61B9C526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3F9067) by Bayer CropScience LP, 800 N Lindbergh Blvd., St. Louis, MO </w:t>
      </w:r>
    </w:p>
    <w:p w14:paraId="2F069243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63167. The petition requested to amend 40 CFR part 180 by establishing </w:t>
      </w:r>
    </w:p>
    <w:p w14:paraId="5DFB692A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a tolerance for residues of ethiprole in or on the raw agricultural </w:t>
      </w:r>
    </w:p>
    <w:p w14:paraId="71E3CD9F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>commodity sugarcane at 0.1 parts per million (ppm).</w:t>
      </w:r>
    </w:p>
    <w:p w14:paraId="6BB63C05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    That document referenced a summary of the petition, which is </w:t>
      </w:r>
    </w:p>
    <w:p w14:paraId="6C85DFFE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available in the docket, </w:t>
      </w:r>
      <w:r>
        <w:rPr>
          <w:i w:val="0"/>
          <w:iCs w:val="0"/>
          <w:caps w:val="0"/>
          <w:spacing w:val="0"/>
        </w:rPr>
        <w:fldChar w:fldCharType="begin"/>
      </w:r>
      <w:r>
        <w:rPr>
          <w:i w:val="0"/>
          <w:iCs w:val="0"/>
          <w:caps w:val="0"/>
          <w:spacing w:val="0"/>
        </w:rPr>
        <w:instrText xml:space="preserve"> HYPERLINK "http://www.regulations.gov/" </w:instrText>
      </w:r>
      <w:r>
        <w:rPr>
          <w:i w:val="0"/>
          <w:iCs w:val="0"/>
          <w:caps w:val="0"/>
          <w:spacing w:val="0"/>
        </w:rPr>
        <w:fldChar w:fldCharType="separate"/>
      </w:r>
      <w:r>
        <w:rPr>
          <w:rStyle w:val="5"/>
          <w:i w:val="0"/>
          <w:iCs w:val="0"/>
          <w:caps w:val="0"/>
          <w:spacing w:val="0"/>
        </w:rPr>
        <w:t>http://www.regulations.gov</w:t>
      </w:r>
      <w:r>
        <w:rPr>
          <w:i w:val="0"/>
          <w:iCs w:val="0"/>
          <w:caps w:val="0"/>
          <w:spacing w:val="0"/>
        </w:rPr>
        <w:fldChar w:fldCharType="end"/>
      </w:r>
      <w:r>
        <w:rPr>
          <w:i w:val="0"/>
          <w:iCs w:val="0"/>
          <w:caps w:val="0"/>
          <w:color w:val="000000"/>
          <w:spacing w:val="0"/>
        </w:rPr>
        <w:t xml:space="preserve">. There were no </w:t>
      </w:r>
    </w:p>
    <w:p w14:paraId="326E9884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comments received in response to the notice of filing. Based upon </w:t>
      </w:r>
    </w:p>
    <w:p w14:paraId="28C256C6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review of the data supporting the petition, EPA has revised the </w:t>
      </w:r>
    </w:p>
    <w:p w14:paraId="1B501301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tolerance from 0.1 ppm to 0.07 ppm. The reason for this change is </w:t>
      </w:r>
    </w:p>
    <w:p w14:paraId="265AAB81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>explained in Unit IV.C.</w:t>
      </w:r>
    </w:p>
    <w:p w14:paraId="5696CED3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</w:p>
    <w:p w14:paraId="717772D3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>III. Aggregate Risk Assessment and Determination of Safety</w:t>
      </w:r>
    </w:p>
    <w:p w14:paraId="546A2FF1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</w:p>
    <w:p w14:paraId="2817D881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    Section 408(b)(2)(A)(i) of FFDCA allows EPA to establish a </w:t>
      </w:r>
    </w:p>
    <w:p w14:paraId="2563BC20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tolerance (the legal limit for a pesticide chemical residue in or on a </w:t>
      </w:r>
    </w:p>
    <w:p w14:paraId="7E68DCB7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food) only if EPA determines that the tolerance is ``safe.'' Section </w:t>
      </w:r>
    </w:p>
    <w:p w14:paraId="1DF41E0D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>408(b)(2)(A)(ii) of FFDCA</w:t>
      </w:r>
    </w:p>
    <w:p w14:paraId="0409C437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</w:p>
    <w:p w14:paraId="6C61D941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>[[Page 105471]]</w:t>
      </w:r>
    </w:p>
    <w:p w14:paraId="3D7CAAB5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</w:p>
    <w:p w14:paraId="4E29510E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defines ``safe'' to mean that ``there is a reasonable certainty that no </w:t>
      </w:r>
    </w:p>
    <w:p w14:paraId="24A60387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harm will result from aggregate exposure to the pesticide chemical </w:t>
      </w:r>
    </w:p>
    <w:p w14:paraId="782B35EA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residue, including all anticipated dietary exposures and all other </w:t>
      </w:r>
    </w:p>
    <w:p w14:paraId="1FB2E8B3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exposures for which there is reliable information.'' This includes </w:t>
      </w:r>
    </w:p>
    <w:p w14:paraId="37BE4ADB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exposure through drinking water and in residential settings but does </w:t>
      </w:r>
    </w:p>
    <w:p w14:paraId="7B9EAA04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not include occupational exposure. Section 408(b)(2)(C) of FFDCA </w:t>
      </w:r>
    </w:p>
    <w:p w14:paraId="14758A02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requires EPA to give special consideration to exposure of infants and </w:t>
      </w:r>
    </w:p>
    <w:p w14:paraId="34199623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children to the pesticide chemical residue in establishing a tolerance </w:t>
      </w:r>
    </w:p>
    <w:p w14:paraId="11D35360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and to ``ensure that there is a reasonable certainty that no harm will </w:t>
      </w:r>
    </w:p>
    <w:p w14:paraId="0B7467AD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result to infants and children from aggregate exposure to the pesticide </w:t>
      </w:r>
    </w:p>
    <w:p w14:paraId="445A9BB7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>chemical residue . . . . ''</w:t>
      </w:r>
    </w:p>
    <w:p w14:paraId="6845E38B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    Consistent with FFDCA section 408(b)(2)(D), and the factors </w:t>
      </w:r>
    </w:p>
    <w:p w14:paraId="2814EDE8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specified therein, EPA has reviewed the available scientific data and </w:t>
      </w:r>
    </w:p>
    <w:p w14:paraId="052AD36B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other relevant information in support of this action. EPA has </w:t>
      </w:r>
    </w:p>
    <w:p w14:paraId="38A9370B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sufficient data to assess the hazards of and to make a determination on </w:t>
      </w:r>
    </w:p>
    <w:p w14:paraId="2EEF5EC6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aggregate exposure for ethiprole including exposure resulting from the </w:t>
      </w:r>
    </w:p>
    <w:p w14:paraId="286E4F2F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tolerances established by this action. EPA's assessment of exposures </w:t>
      </w:r>
    </w:p>
    <w:p w14:paraId="2DCE680E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>and risks associated with ethiprole follows.</w:t>
      </w:r>
    </w:p>
    <w:p w14:paraId="41D5BE61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    In an effort to streamline its publications in the Federal </w:t>
      </w:r>
    </w:p>
    <w:p w14:paraId="4EFA2988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Register, EPA is not reprinting sections that repeat what has been </w:t>
      </w:r>
    </w:p>
    <w:p w14:paraId="784BE949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previously published for tolerance rulemaking of the same pesticide </w:t>
      </w:r>
    </w:p>
    <w:p w14:paraId="455A7440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chemical. Where scientific information concerning a particular chemical </w:t>
      </w:r>
    </w:p>
    <w:p w14:paraId="0047A9CC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remains unchanged, the content of those sections would not vary between </w:t>
      </w:r>
    </w:p>
    <w:p w14:paraId="5BCFDE06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tolerance rulemaking, and EPA considers referral back to those sections </w:t>
      </w:r>
    </w:p>
    <w:p w14:paraId="2A299209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as sufficient to provide an explanation of the information EPA </w:t>
      </w:r>
    </w:p>
    <w:p w14:paraId="57F970D2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>considered in making its safety determination for the new rulemaking.</w:t>
      </w:r>
    </w:p>
    <w:p w14:paraId="74188134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    EPA has previously published tolerance rulemakings for ethiprole, </w:t>
      </w:r>
    </w:p>
    <w:p w14:paraId="2447720F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in which EPA concluded, based on the available information, that there </w:t>
      </w:r>
    </w:p>
    <w:p w14:paraId="0E472E54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is a reasonable certainty that no harm would result from aggregate </w:t>
      </w:r>
    </w:p>
    <w:p w14:paraId="2E664AB2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exposure to ethiprole and established tolerances for residues of that </w:t>
      </w:r>
    </w:p>
    <w:p w14:paraId="62C67972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chemical. EPA is incorporating previously published sections of those </w:t>
      </w:r>
    </w:p>
    <w:p w14:paraId="113BFECB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rulemakings that remain unchanged, as described further in this </w:t>
      </w:r>
    </w:p>
    <w:p w14:paraId="5C126AB7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rulemaking. Specific information on the risk assessment conducted in </w:t>
      </w:r>
    </w:p>
    <w:p w14:paraId="44892E63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support of this action, including on the studies received and the </w:t>
      </w:r>
    </w:p>
    <w:p w14:paraId="52F3FA58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nature of the adverse effects caused by ethiprole, can be found in the </w:t>
      </w:r>
    </w:p>
    <w:p w14:paraId="7917F0E7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document titled ``Ethiprole. Human Health Risk Assessment for Tolerance </w:t>
      </w:r>
    </w:p>
    <w:p w14:paraId="7CC30E72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without U.S. Registration in/on Imported Sugarcane'' which is available </w:t>
      </w:r>
    </w:p>
    <w:p w14:paraId="67EA2DE3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in the docket for this action at </w:t>
      </w:r>
      <w:r>
        <w:rPr>
          <w:i w:val="0"/>
          <w:iCs w:val="0"/>
          <w:caps w:val="0"/>
          <w:spacing w:val="0"/>
        </w:rPr>
        <w:fldChar w:fldCharType="begin"/>
      </w:r>
      <w:r>
        <w:rPr>
          <w:i w:val="0"/>
          <w:iCs w:val="0"/>
          <w:caps w:val="0"/>
          <w:spacing w:val="0"/>
        </w:rPr>
        <w:instrText xml:space="preserve"> HYPERLINK "https://www.regulations.gov/" </w:instrText>
      </w:r>
      <w:r>
        <w:rPr>
          <w:i w:val="0"/>
          <w:iCs w:val="0"/>
          <w:caps w:val="0"/>
          <w:spacing w:val="0"/>
        </w:rPr>
        <w:fldChar w:fldCharType="separate"/>
      </w:r>
      <w:r>
        <w:rPr>
          <w:rStyle w:val="5"/>
          <w:i w:val="0"/>
          <w:iCs w:val="0"/>
          <w:caps w:val="0"/>
          <w:spacing w:val="0"/>
        </w:rPr>
        <w:t>https://www.regulations.gov</w:t>
      </w:r>
      <w:r>
        <w:rPr>
          <w:i w:val="0"/>
          <w:iCs w:val="0"/>
          <w:caps w:val="0"/>
          <w:spacing w:val="0"/>
        </w:rPr>
        <w:fldChar w:fldCharType="end"/>
      </w:r>
      <w:r>
        <w:rPr>
          <w:i w:val="0"/>
          <w:iCs w:val="0"/>
          <w:caps w:val="0"/>
          <w:color w:val="000000"/>
          <w:spacing w:val="0"/>
        </w:rPr>
        <w:t>.</w:t>
      </w:r>
    </w:p>
    <w:p w14:paraId="5669A458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    Toxicological profile. For a discussion of the Toxicological </w:t>
      </w:r>
    </w:p>
    <w:p w14:paraId="77B4E071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Profile of ethiprole, see Unit III.A. of the rulemaking published in </w:t>
      </w:r>
    </w:p>
    <w:p w14:paraId="4E002F44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>the Federal Register of June 28, 2019 (84 FR 30933) (FRL-9985-41).</w:t>
      </w:r>
    </w:p>
    <w:p w14:paraId="2FE6F9C4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    Toxicological points of departure/Levels of concern. For a summary </w:t>
      </w:r>
    </w:p>
    <w:p w14:paraId="611905EC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of the Toxicological Points of Departure/Levels of Concern used for the </w:t>
      </w:r>
    </w:p>
    <w:p w14:paraId="6E09598A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safety assessment of ethiprole, see Unit III.B. of the June 28, 2019, </w:t>
      </w:r>
    </w:p>
    <w:p w14:paraId="7A8ABD0F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>rulemaking.</w:t>
      </w:r>
    </w:p>
    <w:p w14:paraId="0D82162C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    Exposure assessment. Much of the exposure assessment remains </w:t>
      </w:r>
    </w:p>
    <w:p w14:paraId="38F3B2DD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unchanged from the rulemaking published in the June 28, 2019, </w:t>
      </w:r>
    </w:p>
    <w:p w14:paraId="1C9D01BE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rulemaking, although the new exposure assessment incorporates the </w:t>
      </w:r>
    </w:p>
    <w:p w14:paraId="342E4621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additional dietary exposure from the petitioned-for tolerance. Other </w:t>
      </w:r>
    </w:p>
    <w:p w14:paraId="02410324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>changes are described below.</w:t>
      </w:r>
    </w:p>
    <w:p w14:paraId="7C8734BA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    Acute and chronic dietary exposure assessments were conducted using </w:t>
      </w:r>
    </w:p>
    <w:p w14:paraId="77A15A9B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DEEM-FCID Version 4.02. This software uses 2005-2010 food consumption </w:t>
      </w:r>
    </w:p>
    <w:p w14:paraId="39557F61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data from the U.S. Department of Agriculture's (USDA's) National Health </w:t>
      </w:r>
    </w:p>
    <w:p w14:paraId="4946FD1E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>and Nutrition Examination Survey, What We Eat in America, (NHANES/</w:t>
      </w:r>
    </w:p>
    <w:p w14:paraId="7654FACC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WWEIA). Unrefined acute and chronic dietary exposure and risk </w:t>
      </w:r>
    </w:p>
    <w:p w14:paraId="4A0900C1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assessments were conducted using tolerance-level residues, empirical </w:t>
      </w:r>
    </w:p>
    <w:p w14:paraId="558E5C59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>and default processing factors, and assuming 100% crop treated.</w:t>
      </w:r>
    </w:p>
    <w:p w14:paraId="20AA6318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    Drinking water and non-occupational exposures. There are no </w:t>
      </w:r>
    </w:p>
    <w:p w14:paraId="6693BED6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registered or proposed U.S. uses of ethiprole. As a result, estimated </w:t>
      </w:r>
    </w:p>
    <w:p w14:paraId="5C7CF52E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drinking water concentrations (EDWCs) were not included in the dietary </w:t>
      </w:r>
    </w:p>
    <w:p w14:paraId="1EBB4032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exposure and risk assessments because residues of ethiprole and its </w:t>
      </w:r>
    </w:p>
    <w:p w14:paraId="2664B1F8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>degradates are not anticipated to be present in U.S. drinking water.</w:t>
      </w:r>
    </w:p>
    <w:p w14:paraId="754F8F5D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    A residential handler and residential post-application assessment </w:t>
      </w:r>
    </w:p>
    <w:p w14:paraId="56A85613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is not necessary since the action is to establish an import tolerance </w:t>
      </w:r>
    </w:p>
    <w:p w14:paraId="2DE15DF5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>without a U.S. registration on sugarcane.</w:t>
      </w:r>
    </w:p>
    <w:p w14:paraId="55319A29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    Cumulative exposure. Section 408(b)(2)(D)(v) of FFDCA requires </w:t>
      </w:r>
    </w:p>
    <w:p w14:paraId="6F3A96B2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that, when considering whether to establish, modify, or revoke a </w:t>
      </w:r>
    </w:p>
    <w:p w14:paraId="09CD77A9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tolerance, the Agency consider ``available information'' concerning the </w:t>
      </w:r>
    </w:p>
    <w:p w14:paraId="24F2425A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cumulative effects of a particular pesticide's residues and ``other </w:t>
      </w:r>
    </w:p>
    <w:p w14:paraId="0D036BBF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substances that have a common mechanism of toxicity.'' Unlike other </w:t>
      </w:r>
    </w:p>
    <w:p w14:paraId="749CD3C3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pesticides for which EPA has followed a cumulative risk approach based </w:t>
      </w:r>
    </w:p>
    <w:p w14:paraId="0FDBE8B7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on a common mechanism of toxicity, EPA has not made a common mechanism </w:t>
      </w:r>
    </w:p>
    <w:p w14:paraId="239E333C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of toxicity finding as to ethiprole and any other substances and </w:t>
      </w:r>
    </w:p>
    <w:p w14:paraId="3F9692A9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ethiprole does not appear to produce a toxic metabolite produced by </w:t>
      </w:r>
    </w:p>
    <w:p w14:paraId="178CBABE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other substances. For the purposes of this action, therefore, EPA has </w:t>
      </w:r>
    </w:p>
    <w:p w14:paraId="5D6C43C7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not assumed that ethiprole has a common mechanism of toxicity with </w:t>
      </w:r>
    </w:p>
    <w:p w14:paraId="7F491766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>other substances.</w:t>
      </w:r>
    </w:p>
    <w:p w14:paraId="5844C636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    In 2016, EPA's Office of Pesticide Programs released a guidance </w:t>
      </w:r>
    </w:p>
    <w:p w14:paraId="0AF3AEE6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document titled, Pesticide Cumulative Risk Assessment: Framework for </w:t>
      </w:r>
    </w:p>
    <w:p w14:paraId="20228E2D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>Screening Analysis (</w:t>
      </w:r>
      <w:r>
        <w:rPr>
          <w:i w:val="0"/>
          <w:iCs w:val="0"/>
          <w:caps w:val="0"/>
          <w:spacing w:val="0"/>
        </w:rPr>
        <w:fldChar w:fldCharType="begin"/>
      </w:r>
      <w:r>
        <w:rPr>
          <w:i w:val="0"/>
          <w:iCs w:val="0"/>
          <w:caps w:val="0"/>
          <w:spacing w:val="0"/>
        </w:rPr>
        <w:instrText xml:space="preserve"> HYPERLINK "https://www.epa.gov/pesticide-science-and-assessing-pesticide-risks/pesticide-cumulative-risk-assessment-framework" </w:instrText>
      </w:r>
      <w:r>
        <w:rPr>
          <w:i w:val="0"/>
          <w:iCs w:val="0"/>
          <w:caps w:val="0"/>
          <w:spacing w:val="0"/>
        </w:rPr>
        <w:fldChar w:fldCharType="separate"/>
      </w:r>
      <w:r>
        <w:rPr>
          <w:rStyle w:val="5"/>
          <w:i w:val="0"/>
          <w:iCs w:val="0"/>
          <w:caps w:val="0"/>
          <w:spacing w:val="0"/>
        </w:rPr>
        <w:t>https://www.epa.gov/pesticide-science-and-assessing-pesticide-risks/pesticide-cumulative-risk-assessment-framework</w:t>
      </w:r>
      <w:r>
        <w:rPr>
          <w:i w:val="0"/>
          <w:iCs w:val="0"/>
          <w:caps w:val="0"/>
          <w:spacing w:val="0"/>
        </w:rPr>
        <w:fldChar w:fldCharType="end"/>
      </w:r>
      <w:r>
        <w:rPr>
          <w:i w:val="0"/>
          <w:iCs w:val="0"/>
          <w:caps w:val="0"/>
          <w:color w:val="000000"/>
          <w:spacing w:val="0"/>
        </w:rPr>
        <w:t xml:space="preserve">). This document provides guidance on how to screen groups of </w:t>
      </w:r>
    </w:p>
    <w:p w14:paraId="0C228CB3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pesticides for cumulative evaluation using a two-step approach </w:t>
      </w:r>
    </w:p>
    <w:p w14:paraId="5E7CDB77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beginning with the evaluation of available toxicological information </w:t>
      </w:r>
    </w:p>
    <w:p w14:paraId="7E6F36BB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and if necessary, followed by a risk-based screening approach. This </w:t>
      </w:r>
    </w:p>
    <w:p w14:paraId="4E2CF597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framework supplements the existing guidance documents for establishing </w:t>
      </w:r>
    </w:p>
    <w:p w14:paraId="0E6DB909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common mechanism groups (CMGs) and conducting cumulative risk </w:t>
      </w:r>
    </w:p>
    <w:p w14:paraId="31092727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>assessments (CRAs).</w:t>
      </w:r>
    </w:p>
    <w:p w14:paraId="00FC3E51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    Ethiprole is a phenyl-pyrazole insecticide. As part of the ongoing </w:t>
      </w:r>
    </w:p>
    <w:p w14:paraId="2E1E6F29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process to review registered pesticides, the Agency intends to apply </w:t>
      </w:r>
    </w:p>
    <w:p w14:paraId="326530B0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this framework to determine if the available toxicological data for </w:t>
      </w:r>
    </w:p>
    <w:p w14:paraId="1FA1D03A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ethiprole suggests a candidate CMG may be established with other </w:t>
      </w:r>
    </w:p>
    <w:p w14:paraId="6A38CEE0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pesticides. If a CMG is established, a screening-level toxicology and </w:t>
      </w:r>
    </w:p>
    <w:p w14:paraId="13735FA6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exposure analysis may be conducted to provide an initial screen for </w:t>
      </w:r>
    </w:p>
    <w:p w14:paraId="26499D5F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>multiple pesticide exposure.</w:t>
      </w:r>
    </w:p>
    <w:p w14:paraId="18C02153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    Safety Factor for Infants and Children. EPA continues to conclude </w:t>
      </w:r>
    </w:p>
    <w:p w14:paraId="56CCE600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that there is reliable data showing that the safety of infants and </w:t>
      </w:r>
    </w:p>
    <w:p w14:paraId="029DCD74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children would be adequately protected if the Food Quality Protection </w:t>
      </w:r>
    </w:p>
    <w:p w14:paraId="16DAD7BA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Act (FQPA) safety factor were reduced from 10X to 1X. The reasons for </w:t>
      </w:r>
    </w:p>
    <w:p w14:paraId="4CA5CEF9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that decision are articulated in Unit III.D. of the June 28, 2019, </w:t>
      </w:r>
    </w:p>
    <w:p w14:paraId="222F215E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>rulemaking.</w:t>
      </w:r>
    </w:p>
    <w:p w14:paraId="71F0E646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    Aggregate risks and determination of safety. EPA determines whether </w:t>
      </w:r>
    </w:p>
    <w:p w14:paraId="3CC3BF49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acute and chronic dietary pesticide exposures are safe by comparing </w:t>
      </w:r>
    </w:p>
    <w:p w14:paraId="703BA22C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dietary exposure estimates to the acute population-adjusted dose (aPAD) </w:t>
      </w:r>
    </w:p>
    <w:p w14:paraId="3FB411EB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and chronic population-adjusted dose (cPAD). Short-, intermediate-, and </w:t>
      </w:r>
    </w:p>
    <w:p w14:paraId="30C49047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chronic-term aggregate risks are evaluated by comparing the estimated </w:t>
      </w:r>
    </w:p>
    <w:p w14:paraId="4363177F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total food, water, and residential exposure to the appropriate points </w:t>
      </w:r>
    </w:p>
    <w:p w14:paraId="30881BFF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of departure to ensure that an adequate margin of exposure (MOE) </w:t>
      </w:r>
    </w:p>
    <w:p w14:paraId="4A5682E2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>exists.</w:t>
      </w:r>
    </w:p>
    <w:p w14:paraId="08DC89E4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    Acute dietary (food only) risks are below the Agency's level of </w:t>
      </w:r>
    </w:p>
    <w:p w14:paraId="01BE4E98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concern of 100% of the aPAD; they are 2.4% of the aPAD for all infants </w:t>
      </w:r>
    </w:p>
    <w:p w14:paraId="63381569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(less than 1 year old), which is the population subgroup with the </w:t>
      </w:r>
    </w:p>
    <w:p w14:paraId="403C6A21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highest exposure estimate. Chronic dietary (food only) risks are below </w:t>
      </w:r>
    </w:p>
    <w:p w14:paraId="316A20E3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the Agency's level of concern of 100% of the cPAD; they are 6% of the </w:t>
      </w:r>
    </w:p>
    <w:p w14:paraId="5B77D948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>cPAD for all infants less than one year</w:t>
      </w:r>
    </w:p>
    <w:p w14:paraId="00A8A148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</w:p>
    <w:p w14:paraId="0A69D878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>[[Page 105472]]</w:t>
      </w:r>
    </w:p>
    <w:p w14:paraId="1B75907B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</w:p>
    <w:p w14:paraId="03ECBF6B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old, which is the population subgroup with the highest exposure </w:t>
      </w:r>
    </w:p>
    <w:p w14:paraId="16D9C91E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>estimate.</w:t>
      </w:r>
    </w:p>
    <w:p w14:paraId="32D368DD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    The short- and intermediate-term aggregate risks combine chronic </w:t>
      </w:r>
    </w:p>
    <w:p w14:paraId="139D53B3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dietary (food and drinking water) and short- and intermediate-term </w:t>
      </w:r>
    </w:p>
    <w:p w14:paraId="36150735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residential exposures. Since there are no U.S. registrations, aggregate </w:t>
      </w:r>
    </w:p>
    <w:p w14:paraId="74B221E4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risk is the same as the chronic dietary risk, which is below the </w:t>
      </w:r>
    </w:p>
    <w:p w14:paraId="7C7CA163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>Agency's level of concern.</w:t>
      </w:r>
    </w:p>
    <w:p w14:paraId="785C390F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    Because ethiprole is classified as ``Suggestive Evidence of </w:t>
      </w:r>
    </w:p>
    <w:p w14:paraId="47F4FE59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Carcinogenicity, but Not Sufficient to Assess Human Carcinogenicity </w:t>
      </w:r>
    </w:p>
    <w:p w14:paraId="1629839F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Potential,'' EPA has concluded that a cancer aggregate assessment was </w:t>
      </w:r>
    </w:p>
    <w:p w14:paraId="5F54ED78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>not required.</w:t>
      </w:r>
    </w:p>
    <w:p w14:paraId="363AE86C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    Therefore, based on the risk assessments and information described </w:t>
      </w:r>
    </w:p>
    <w:p w14:paraId="37E92761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above, EPA concludes there is a reasonable certainty that no harm will </w:t>
      </w:r>
    </w:p>
    <w:p w14:paraId="4FA19115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result to the general population, or to infants and children, from </w:t>
      </w:r>
    </w:p>
    <w:p w14:paraId="2DAA4AB1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>aggregate exposure to ethiprole residues.</w:t>
      </w:r>
    </w:p>
    <w:p w14:paraId="4DDC251F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</w:p>
    <w:p w14:paraId="436C4A20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>IV. Other Considerations</w:t>
      </w:r>
    </w:p>
    <w:p w14:paraId="27C51A42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</w:p>
    <w:p w14:paraId="2621F8B7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>A. Analytical Enforcement Methodology</w:t>
      </w:r>
    </w:p>
    <w:p w14:paraId="15283AA3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</w:p>
    <w:p w14:paraId="4C6F6058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    For a discussion of the available analytical enforcement method, </w:t>
      </w:r>
    </w:p>
    <w:p w14:paraId="63D3E70B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>see Unit IV.A. of the June 28, 2019, rulemaking.</w:t>
      </w:r>
    </w:p>
    <w:p w14:paraId="4D589D81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</w:p>
    <w:p w14:paraId="1AD42829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>B. International Residue Limits</w:t>
      </w:r>
    </w:p>
    <w:p w14:paraId="424698EF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</w:p>
    <w:p w14:paraId="54AEFBC6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    In making its tolerance decisions, EPA seeks to harmonize U.S. </w:t>
      </w:r>
    </w:p>
    <w:p w14:paraId="31B675BE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tolerances with international standards whenever possible, consistent </w:t>
      </w:r>
    </w:p>
    <w:p w14:paraId="4F4B5869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with U.S. food safety standards and agricultural practices. EPA </w:t>
      </w:r>
    </w:p>
    <w:p w14:paraId="2B865B96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considers the international maximum residue limits (MRLs) established </w:t>
      </w:r>
    </w:p>
    <w:p w14:paraId="3703839F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by the Codex Alimentarius Commission (Codex), as required by FFDCA </w:t>
      </w:r>
    </w:p>
    <w:p w14:paraId="45A947A1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>section 408(b)(4).</w:t>
      </w:r>
    </w:p>
    <w:p w14:paraId="46F69C3E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    Codex, Canada, and Mexico have not established MRLs for residues of </w:t>
      </w:r>
    </w:p>
    <w:p w14:paraId="0DD2AA4E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ethiprole on sugarcane commodities; therefore, there are no </w:t>
      </w:r>
    </w:p>
    <w:p w14:paraId="6067FFA3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>harmonization issues at this time.</w:t>
      </w:r>
    </w:p>
    <w:p w14:paraId="1C379FD6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</w:p>
    <w:p w14:paraId="03AE9086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>C. Revisions to Petitioned-For Tolerances</w:t>
      </w:r>
    </w:p>
    <w:p w14:paraId="6967D2AB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</w:p>
    <w:p w14:paraId="701E49BE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    Review of the field trial data determined one of the nine </w:t>
      </w:r>
    </w:p>
    <w:p w14:paraId="51F3CE6B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independent sugarcane field trials was to be a replicate; therefore, </w:t>
      </w:r>
    </w:p>
    <w:p w14:paraId="537D0A81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the residues were averaged, and the pair of sites was taken to be one </w:t>
      </w:r>
    </w:p>
    <w:p w14:paraId="3AAE8B3D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independent trial. The Organization for Economic Cooperation and </w:t>
      </w:r>
    </w:p>
    <w:p w14:paraId="5EFFB16B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Development (OECD) MRL calculator recommended a tolerance of 0.07 ppm </w:t>
      </w:r>
    </w:p>
    <w:p w14:paraId="141EC811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>for residues of ethiprole in sugarcane.</w:t>
      </w:r>
    </w:p>
    <w:p w14:paraId="34157437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</w:p>
    <w:p w14:paraId="78AE92CC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>V. Conclusion</w:t>
      </w:r>
    </w:p>
    <w:p w14:paraId="45E769AD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</w:p>
    <w:p w14:paraId="7520D199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    Therefore, a tolerance is established for residues of ethiprole in </w:t>
      </w:r>
    </w:p>
    <w:p w14:paraId="433B867D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>or on sugarcane at 0.07 ppm.</w:t>
      </w:r>
    </w:p>
    <w:p w14:paraId="71E1932D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</w:p>
    <w:p w14:paraId="5544B5B1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>VI. Statutory and Executive Order Reviews</w:t>
      </w:r>
    </w:p>
    <w:p w14:paraId="7C9DC083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</w:p>
    <w:p w14:paraId="767DFBD7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    This action establishes tolerances under FFDCA section 408(d) in </w:t>
      </w:r>
    </w:p>
    <w:p w14:paraId="25BE5BD6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response to a petition submitted to the Agency. The Office of </w:t>
      </w:r>
    </w:p>
    <w:p w14:paraId="5F484D6A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Management and Budget (OMB) has exempted these types of actions from </w:t>
      </w:r>
    </w:p>
    <w:p w14:paraId="637DFCE2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review under Executive Order 12866, titled ``Regulatory Planning and </w:t>
      </w:r>
    </w:p>
    <w:p w14:paraId="5F4CD62E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Review'' (58 FR 51735, October 4, 1993). Because this action has been </w:t>
      </w:r>
    </w:p>
    <w:p w14:paraId="1D898D97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exempted from review under Executive Order 12866, this action is not </w:t>
      </w:r>
    </w:p>
    <w:p w14:paraId="7A5E4A84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subject to Executive Order 13211, titled ``Actions Concerning </w:t>
      </w:r>
    </w:p>
    <w:p w14:paraId="1BA18724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Regulations That Significantly Affect Energy Supply, Distribution, or </w:t>
      </w:r>
    </w:p>
    <w:p w14:paraId="0330DFC8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Use'' (66 FR 28355, May 22, 2001), or to Executive Order 13045, titled </w:t>
      </w:r>
    </w:p>
    <w:p w14:paraId="1183E237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``Protection of Children from Environmental Health Risks and Safety </w:t>
      </w:r>
    </w:p>
    <w:p w14:paraId="1977543B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Risks'' (62 FR 19885, April 23, 1997). This action does not contain any </w:t>
      </w:r>
    </w:p>
    <w:p w14:paraId="1D8E7839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information collections subject to OMB approval under the Paperwork </w:t>
      </w:r>
    </w:p>
    <w:p w14:paraId="06151657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Reduction Act (PRA) (44 U.S.C. 3501 et seq.), nor does it require any </w:t>
      </w:r>
    </w:p>
    <w:p w14:paraId="32A9C085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special considerations under Executive Order 12898, titled ``Federal </w:t>
      </w:r>
    </w:p>
    <w:p w14:paraId="363FA7EB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Actions to Address Environmental Justice in Minority Populations and </w:t>
      </w:r>
    </w:p>
    <w:p w14:paraId="0F525EFC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>Low-Income Populations'' (59 FR 7629, February 16, 1994).</w:t>
      </w:r>
    </w:p>
    <w:p w14:paraId="2DE2ADF7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    Since tolerances and exemptions that are established on the basis </w:t>
      </w:r>
    </w:p>
    <w:p w14:paraId="7E4F067F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of a petition under FFDCA section 408(d), such as the tolerances in </w:t>
      </w:r>
    </w:p>
    <w:p w14:paraId="0312783A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this final rule, do not require the issuance of a proposed rule, the </w:t>
      </w:r>
    </w:p>
    <w:p w14:paraId="488D9838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requirements of the Regulatory Flexibility Act (RFA) (5 U.S.C. 601 et </w:t>
      </w:r>
    </w:p>
    <w:p w14:paraId="46CCFE44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>seq.), do not apply.</w:t>
      </w:r>
    </w:p>
    <w:p w14:paraId="62B67253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    This action directly regulates growers, food processors, food </w:t>
      </w:r>
    </w:p>
    <w:p w14:paraId="5A750591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handlers, and food retailers, not States or Tribes, nor does this </w:t>
      </w:r>
    </w:p>
    <w:p w14:paraId="76751E3A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action alter the relationships or distribution of power and </w:t>
      </w:r>
    </w:p>
    <w:p w14:paraId="01EF9799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responsibilities established by Congress in the preemption provisions </w:t>
      </w:r>
    </w:p>
    <w:p w14:paraId="5EE0E220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of FFDCA section 408(n)(4). As such, the Agency has determined that </w:t>
      </w:r>
    </w:p>
    <w:p w14:paraId="30915406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this action will not have a substantial direct effect on States or </w:t>
      </w:r>
    </w:p>
    <w:p w14:paraId="0A999F04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Tribal governments, on the relationship between the National Government </w:t>
      </w:r>
    </w:p>
    <w:p w14:paraId="1B177C78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and the States or Tribal governments, or on the distribution of power </w:t>
      </w:r>
    </w:p>
    <w:p w14:paraId="737813A6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and responsibilities among the various levels of government or between </w:t>
      </w:r>
    </w:p>
    <w:p w14:paraId="609FF138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the Federal Government and Indian Tribes. Thus, the Agency has </w:t>
      </w:r>
    </w:p>
    <w:p w14:paraId="1D0833A6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determined that Executive Order 13132, titled ``Federalism'' (64 FR </w:t>
      </w:r>
    </w:p>
    <w:p w14:paraId="377179D5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43255, August 10, 1999) and Executive Order 13175, titled </w:t>
      </w:r>
    </w:p>
    <w:p w14:paraId="4C861071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``Consultation and Coordination with Indian Tribal Governments'' (65 FR </w:t>
      </w:r>
    </w:p>
    <w:p w14:paraId="3A172784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67249, November 9, 2000) do not apply to this action. In addition, this </w:t>
      </w:r>
    </w:p>
    <w:p w14:paraId="5D1A596B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action does not impose any enforceable duty or contain any unfunded </w:t>
      </w:r>
    </w:p>
    <w:p w14:paraId="723625ED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mandate as described under Title II of the Unfunded Mandates Reform Act </w:t>
      </w:r>
    </w:p>
    <w:p w14:paraId="3A6C9225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>(UMRA) (2 U.S.C. 1501 et seq.).</w:t>
      </w:r>
    </w:p>
    <w:p w14:paraId="7586AB21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    This action does not involve any technical standards that would </w:t>
      </w:r>
    </w:p>
    <w:p w14:paraId="52A022C8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require Agency consideration of voluntary consensus standards pursuant </w:t>
      </w:r>
    </w:p>
    <w:p w14:paraId="16D63FA8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to section 12(d) of the National Technology Transfer and Advancement </w:t>
      </w:r>
    </w:p>
    <w:p w14:paraId="7D076940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>Act (NTTAA) (15 U.S.C. 272 note).</w:t>
      </w:r>
    </w:p>
    <w:p w14:paraId="51355535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</w:p>
    <w:p w14:paraId="03D3C0C4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>VII. Congressional Review Act</w:t>
      </w:r>
    </w:p>
    <w:p w14:paraId="61EBC0B7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</w:p>
    <w:p w14:paraId="751FB338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    Pursuant to the Congressional Review Act (5 U.S.C. 801 et seq.), </w:t>
      </w:r>
    </w:p>
    <w:p w14:paraId="64F9DFF8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EPA will submit a report containing this rule and other required </w:t>
      </w:r>
    </w:p>
    <w:p w14:paraId="6DD7B594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information to the U.S. Senate, the U.S. House of Representatives, and </w:t>
      </w:r>
    </w:p>
    <w:p w14:paraId="0384BFD4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the Comptroller General of the United States prior to publication of </w:t>
      </w:r>
    </w:p>
    <w:p w14:paraId="1E26DCCB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the rule in the Federal Register. This action is not a ``major rule'' </w:t>
      </w:r>
    </w:p>
    <w:p w14:paraId="3DF8974B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>as defined by 5 U.S.C. 804(2).</w:t>
      </w:r>
    </w:p>
    <w:p w14:paraId="345B0E80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</w:p>
    <w:p w14:paraId="2F0C3E38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>List of Subjects in 40 CFR Part 180</w:t>
      </w:r>
    </w:p>
    <w:p w14:paraId="399CE1C5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</w:p>
    <w:p w14:paraId="4B64A621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    Environmental protection, Administrative practice and procedure, </w:t>
      </w:r>
    </w:p>
    <w:p w14:paraId="76965B3E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Agricultural commodities, Pesticides, and pests, Reporting and </w:t>
      </w:r>
    </w:p>
    <w:p w14:paraId="5D51D9AE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>recordkeeping requirements.</w:t>
      </w:r>
    </w:p>
    <w:p w14:paraId="02BBA4F7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</w:p>
    <w:p w14:paraId="67C3BAC6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    Dated: December 16, 2024.</w:t>
      </w:r>
    </w:p>
    <w:p w14:paraId="4EBEE3C9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>Charles Smith,</w:t>
      </w:r>
    </w:p>
    <w:p w14:paraId="6F6D3CA3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>Director, Registration Division, Office of Pesticide Programs.</w:t>
      </w:r>
    </w:p>
    <w:p w14:paraId="1B0F209C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</w:p>
    <w:p w14:paraId="061E54C8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    Therefore, for the reasons stated in the preamble, EPA is amending </w:t>
      </w:r>
    </w:p>
    <w:p w14:paraId="32C55187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>40 CFR chapter 1 as follows:</w:t>
      </w:r>
    </w:p>
    <w:p w14:paraId="524B756C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</w:p>
    <w:p w14:paraId="2E6B9C50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PART 180--TOLERANCES AND EXEMPTIONS FOR PESTICIDE CHEMICAL RESIDUES </w:t>
      </w:r>
    </w:p>
    <w:p w14:paraId="1843E13F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>IN FOOD</w:t>
      </w:r>
    </w:p>
    <w:p w14:paraId="6C4C486A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</w:p>
    <w:p w14:paraId="468B3217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>1. The authority citation for part 180 continues to read as follows:</w:t>
      </w:r>
    </w:p>
    <w:p w14:paraId="55E98464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</w:p>
    <w:p w14:paraId="4F58CDF4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    Authority: 21 U.S.C. 321(q), 346a and 371.</w:t>
      </w:r>
    </w:p>
    <w:p w14:paraId="59956A0C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</w:p>
    <w:p w14:paraId="4DE40046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</w:p>
    <w:p w14:paraId="7B6C88C7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2. In Sec.  180.652, amend the table in paragraph (a) by adding a table </w:t>
      </w:r>
    </w:p>
    <w:p w14:paraId="4AEA8BA5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heading and adding in alphabetical order the commodity ``Sugarcane'' to </w:t>
      </w:r>
    </w:p>
    <w:p w14:paraId="50F0B908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>read as follows:</w:t>
      </w:r>
    </w:p>
    <w:p w14:paraId="6B327679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</w:p>
    <w:p w14:paraId="526BB1F3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</w:p>
    <w:p w14:paraId="6CF98342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>Sec.  180.652  Ethiprole; tolerances for residues.</w:t>
      </w:r>
    </w:p>
    <w:p w14:paraId="4BA1C47D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</w:p>
    <w:p w14:paraId="38A16E19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    (a) * * *</w:t>
      </w:r>
    </w:p>
    <w:p w14:paraId="0BD07195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</w:p>
    <w:p w14:paraId="2569CFFB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                        Table 1 to Paragraph (a)</w:t>
      </w:r>
    </w:p>
    <w:p w14:paraId="23C7C8D4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>------------------------------------------------------------------------</w:t>
      </w:r>
    </w:p>
    <w:p w14:paraId="46EFE046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                                                          Parts per</w:t>
      </w:r>
    </w:p>
    <w:p w14:paraId="44060C4F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                        Commodity                            million</w:t>
      </w:r>
    </w:p>
    <w:p w14:paraId="4F9B4D25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>------------------------------------------------------------------------</w:t>
      </w:r>
    </w:p>
    <w:p w14:paraId="612E28D9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 </w:t>
      </w:r>
    </w:p>
    <w:p w14:paraId="370BC683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                                * * * * *</w:t>
      </w:r>
    </w:p>
    <w:p w14:paraId="0A212F97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>Sugarcane \1\........................................</w:t>
      </w:r>
      <w:bookmarkStart w:id="0" w:name="_GoBack"/>
      <w:bookmarkEnd w:id="0"/>
      <w:r>
        <w:rPr>
          <w:i w:val="0"/>
          <w:iCs w:val="0"/>
          <w:caps w:val="0"/>
          <w:color w:val="000000"/>
          <w:spacing w:val="0"/>
        </w:rPr>
        <w:t xml:space="preserve">           0.07</w:t>
      </w:r>
    </w:p>
    <w:p w14:paraId="22A2D592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 </w:t>
      </w:r>
    </w:p>
    <w:p w14:paraId="6D51325C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                                * * * * *</w:t>
      </w:r>
    </w:p>
    <w:p w14:paraId="0ECB62C5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>------------------------------------------------------------------------</w:t>
      </w:r>
    </w:p>
    <w:p w14:paraId="0867DA03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>\1\ There are no U.S. registrations for this commodity as of December</w:t>
      </w:r>
    </w:p>
    <w:p w14:paraId="226EB274">
      <w:pPr>
        <w:pStyle w:val="2"/>
        <w:keepNext w:val="0"/>
        <w:keepLines w:val="0"/>
        <w:widowControl/>
        <w:suppressLineNumbers w:val="0"/>
        <w:ind w:left="0" w:firstLine="0"/>
        <w:rPr>
          <w:i w:val="0"/>
          <w:iCs w:val="0"/>
          <w:caps w:val="0"/>
          <w:color w:val="000000"/>
          <w:spacing w:val="0"/>
        </w:rPr>
      </w:pPr>
      <w:r>
        <w:rPr>
          <w:i w:val="0"/>
          <w:iCs w:val="0"/>
          <w:caps w:val="0"/>
          <w:color w:val="000000"/>
          <w:spacing w:val="0"/>
        </w:rPr>
        <w:t xml:space="preserve">  27, 2024.</w:t>
      </w:r>
    </w:p>
    <w:p w14:paraId="2CCF912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6E43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2025-01-17T02:01:37Z</dcterms:created>
  <dc:creator>Lenovo</dc:creator>
  <cp:lastModifiedBy>欢喜葡萄</cp:lastModifiedBy>
  <dcterms:modified xsi:type="dcterms:W3CDTF">2025-01-17T02:03:04Z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eyJoZGlkIjoiN2ZlMWVkNmE0ODNiM2U0OWY5MTNiMWY0OTk5NGU3NGUiLCJ1c2VySWQiOiIxMzg2NzY4MTY1In0=</vt:lpwstr>
  </property>
  <property fmtid="{D5CDD505-2E9C-101B-9397-08002B2CF9AE}" pid="4" name="ICV">
    <vt:lpwstr>768150AECF4F49758CF8970A56DC2AED_12</vt:lpwstr>
  </property>
</Properties>
</file>